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1132EE">
        <w:rPr>
          <w:rFonts w:cs="Arial"/>
          <w:bCs/>
          <w:sz w:val="28"/>
        </w:rPr>
        <w:t>#92</w:t>
      </w:r>
      <w:r w:rsidR="00EB5B01">
        <w:rPr>
          <w:rFonts w:cs="Arial"/>
          <w:bCs/>
          <w:sz w:val="28"/>
        </w:rPr>
        <w:t xml:space="preserve"> </w:t>
      </w:r>
      <w:r w:rsidR="005203DE">
        <w:rPr>
          <w:rFonts w:cs="Arial" w:hint="eastAsia"/>
          <w:bCs/>
          <w:sz w:val="28"/>
          <w:szCs w:val="24"/>
          <w:lang w:val="en-US" w:eastAsia="zh-TW"/>
        </w:rPr>
        <w:tab/>
      </w:r>
      <w:r w:rsidR="00BB3E20" w:rsidRPr="00BB3E20">
        <w:rPr>
          <w:rFonts w:eastAsia="MS Mincho" w:cs="Arial"/>
          <w:bCs/>
          <w:sz w:val="28"/>
          <w:szCs w:val="24"/>
          <w:lang w:val="en-US"/>
        </w:rPr>
        <w:t>R1-1801675</w:t>
      </w:r>
    </w:p>
    <w:p w:rsidR="006517D0" w:rsidRPr="009A4147" w:rsidRDefault="001132EE" w:rsidP="006517D0">
      <w:pPr>
        <w:pStyle w:val="Header"/>
        <w:tabs>
          <w:tab w:val="center" w:pos="4536"/>
          <w:tab w:val="right" w:pos="8280"/>
          <w:tab w:val="right" w:pos="9781"/>
        </w:tabs>
        <w:spacing w:after="240"/>
        <w:ind w:right="-58"/>
        <w:rPr>
          <w:rFonts w:cs="Arial"/>
          <w:bCs/>
          <w:sz w:val="28"/>
          <w:szCs w:val="24"/>
          <w:lang w:eastAsia="zh-TW"/>
        </w:rPr>
      </w:pPr>
      <w:r w:rsidRPr="001132EE">
        <w:rPr>
          <w:rFonts w:cs="Arial"/>
          <w:bCs/>
          <w:sz w:val="28"/>
        </w:rPr>
        <w:t>Athens, Greece, February 26</w:t>
      </w:r>
      <w:r w:rsidRPr="001132EE">
        <w:rPr>
          <w:rFonts w:cs="Arial"/>
          <w:bCs/>
          <w:sz w:val="28"/>
          <w:vertAlign w:val="superscript"/>
        </w:rPr>
        <w:t>th</w:t>
      </w:r>
      <w:r w:rsidRPr="001132EE">
        <w:rPr>
          <w:rFonts w:cs="Arial"/>
          <w:bCs/>
          <w:sz w:val="28"/>
        </w:rPr>
        <w:t xml:space="preserve"> – March 2</w:t>
      </w:r>
      <w:r w:rsidRPr="001132EE">
        <w:rPr>
          <w:rFonts w:cs="Arial"/>
          <w:bCs/>
          <w:sz w:val="28"/>
          <w:vertAlign w:val="superscript"/>
        </w:rPr>
        <w:t>nd</w:t>
      </w:r>
      <w:r w:rsidRPr="001132EE">
        <w:rPr>
          <w:rFonts w:cs="Arial"/>
          <w:bCs/>
          <w:sz w:val="28"/>
        </w:rPr>
        <w:t>, 2018</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132EE">
        <w:rPr>
          <w:rFonts w:cs="Arial"/>
          <w:bCs/>
          <w:sz w:val="28"/>
          <w:szCs w:val="24"/>
          <w:lang w:val="en-US" w:eastAsia="zh-TW"/>
        </w:rPr>
        <w:t>7.2.</w:t>
      </w:r>
      <w:r w:rsidR="00BB3E20">
        <w:rPr>
          <w:rFonts w:cs="Arial"/>
          <w:bCs/>
          <w:sz w:val="28"/>
          <w:szCs w:val="24"/>
          <w:lang w:val="en-US" w:eastAsia="zh-TW"/>
        </w:rPr>
        <w:t>2</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BB3E20" w:rsidRPr="00BB3E20">
        <w:rPr>
          <w:rFonts w:cs="Arial"/>
          <w:bCs/>
          <w:sz w:val="28"/>
          <w:szCs w:val="24"/>
          <w:lang w:val="en-US" w:eastAsia="zh-TW"/>
        </w:rPr>
        <w:t>Analysis of Compact DCI</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FD578C" w:rsidRPr="00FD578C" w:rsidRDefault="00FD578C" w:rsidP="00FD578C">
      <w:pPr>
        <w:spacing w:after="120"/>
        <w:textAlignment w:val="center"/>
        <w:rPr>
          <w:rFonts w:eastAsia="SimSun"/>
          <w:lang w:val="en-US" w:eastAsia="zh-CN"/>
        </w:rPr>
      </w:pPr>
      <w:r>
        <w:rPr>
          <w:rFonts w:eastAsia="SimSun"/>
          <w:lang w:val="en-US" w:eastAsia="zh-CN"/>
        </w:rPr>
        <w:t xml:space="preserve">One of the NR work item </w:t>
      </w:r>
      <w:r>
        <w:rPr>
          <w:rFonts w:eastAsia="SimSun"/>
          <w:lang w:val="en-US" w:eastAsia="zh-CN"/>
        </w:rPr>
        <w:fldChar w:fldCharType="begin"/>
      </w:r>
      <w:r>
        <w:rPr>
          <w:rFonts w:eastAsia="SimSun"/>
          <w:lang w:val="en-US" w:eastAsia="zh-CN"/>
        </w:rPr>
        <w:instrText xml:space="preserve"> REF _Ref506552988 \r \h </w:instrText>
      </w:r>
      <w:r>
        <w:rPr>
          <w:rFonts w:eastAsia="SimSun"/>
          <w:lang w:val="en-US" w:eastAsia="zh-CN"/>
        </w:rPr>
      </w:r>
      <w:r>
        <w:rPr>
          <w:rFonts w:eastAsia="SimSun"/>
          <w:lang w:val="en-US" w:eastAsia="zh-CN"/>
        </w:rPr>
        <w:fldChar w:fldCharType="separate"/>
      </w:r>
      <w:r w:rsidR="006F740F">
        <w:rPr>
          <w:rFonts w:eastAsia="SimSun"/>
          <w:lang w:val="en-US" w:eastAsia="zh-CN"/>
        </w:rPr>
        <w:t>[1]</w:t>
      </w:r>
      <w:r>
        <w:rPr>
          <w:rFonts w:eastAsia="SimSun"/>
          <w:lang w:val="en-US" w:eastAsia="zh-CN"/>
        </w:rPr>
        <w:fldChar w:fldCharType="end"/>
      </w:r>
      <w:r>
        <w:rPr>
          <w:rFonts w:eastAsia="SimSun"/>
          <w:lang w:val="en-US" w:eastAsia="zh-CN"/>
        </w:rPr>
        <w:t xml:space="preserve"> </w:t>
      </w:r>
      <w:r w:rsidRPr="00FD578C">
        <w:rPr>
          <w:rFonts w:eastAsia="SimSun"/>
          <w:lang w:val="en-US" w:eastAsia="zh-CN"/>
        </w:rPr>
        <w:t>objectives for URLLC is:</w:t>
      </w:r>
    </w:p>
    <w:p w:rsidR="00FD578C" w:rsidRDefault="00FD578C" w:rsidP="00FD578C">
      <w:pPr>
        <w:pStyle w:val="ListParagraph"/>
        <w:numPr>
          <w:ilvl w:val="0"/>
          <w:numId w:val="11"/>
        </w:numPr>
        <w:spacing w:after="120"/>
        <w:textAlignment w:val="center"/>
        <w:rPr>
          <w:rFonts w:eastAsia="SimSun"/>
          <w:lang w:val="en-US" w:eastAsia="zh-CN"/>
        </w:rPr>
      </w:pPr>
      <w:r w:rsidRPr="00FD578C">
        <w:rPr>
          <w:rFonts w:eastAsia="SimSun"/>
          <w:lang w:val="en-US" w:eastAsia="zh-CN"/>
        </w:rPr>
        <w:t>Support of ultra-reliable part of URLLC [RAN1, RAN2, RAN4]</w:t>
      </w:r>
    </w:p>
    <w:p w:rsidR="00FD578C" w:rsidRDefault="00FD578C" w:rsidP="00FD578C">
      <w:pPr>
        <w:pStyle w:val="ListParagraph"/>
        <w:numPr>
          <w:ilvl w:val="1"/>
          <w:numId w:val="11"/>
        </w:numPr>
        <w:spacing w:after="120"/>
        <w:textAlignment w:val="center"/>
        <w:rPr>
          <w:rFonts w:eastAsia="SimSun"/>
          <w:lang w:val="en-US" w:eastAsia="zh-CN"/>
        </w:rPr>
      </w:pPr>
      <w:r w:rsidRPr="00FD578C">
        <w:rPr>
          <w:rFonts w:eastAsia="SimSun"/>
          <w:lang w:val="en-US" w:eastAsia="zh-CN"/>
        </w:rPr>
        <w:t>Identify techniques to meet the URLLC requirements set forth by [TR38.913] starting after RAN#76</w:t>
      </w:r>
    </w:p>
    <w:p w:rsidR="00FD578C" w:rsidRPr="00FD578C" w:rsidRDefault="00FD578C" w:rsidP="00FD578C">
      <w:pPr>
        <w:pStyle w:val="ListParagraph"/>
        <w:numPr>
          <w:ilvl w:val="1"/>
          <w:numId w:val="11"/>
        </w:numPr>
        <w:spacing w:after="120"/>
        <w:textAlignment w:val="center"/>
        <w:rPr>
          <w:rFonts w:eastAsia="SimSun"/>
          <w:lang w:val="en-US" w:eastAsia="zh-CN"/>
        </w:rPr>
      </w:pPr>
      <w:r w:rsidRPr="00FD578C">
        <w:rPr>
          <w:rFonts w:eastAsia="SimSun"/>
          <w:lang w:val="en-US" w:eastAsia="zh-CN"/>
        </w:rPr>
        <w:t>Conduct corresponding URLLC specific normative work after RAN#78 for the selected techniques</w:t>
      </w:r>
    </w:p>
    <w:p w:rsidR="00FD578C" w:rsidRPr="00FD578C" w:rsidRDefault="00FD578C" w:rsidP="00FD578C">
      <w:pPr>
        <w:spacing w:after="120"/>
        <w:textAlignment w:val="center"/>
        <w:rPr>
          <w:rFonts w:eastAsia="SimSun"/>
          <w:lang w:val="en-US" w:eastAsia="zh-CN"/>
        </w:rPr>
      </w:pPr>
      <w:r w:rsidRPr="00FD578C">
        <w:rPr>
          <w:rFonts w:eastAsia="SimSun"/>
          <w:lang w:val="en-US" w:eastAsia="zh-CN"/>
        </w:rPr>
        <w:t>A general URLLC reliability requirement for one transmission of a packet is 1-10-5 for 32 bytes with</w:t>
      </w:r>
      <w:r>
        <w:rPr>
          <w:rFonts w:eastAsia="SimSun"/>
          <w:lang w:val="en-US" w:eastAsia="zh-CN"/>
        </w:rPr>
        <w:t xml:space="preserve"> a user plane latency of 1ms </w:t>
      </w:r>
      <w:r>
        <w:rPr>
          <w:rFonts w:eastAsia="SimSun"/>
          <w:lang w:val="en-US" w:eastAsia="zh-CN"/>
        </w:rPr>
        <w:fldChar w:fldCharType="begin"/>
      </w:r>
      <w:r>
        <w:rPr>
          <w:rFonts w:eastAsia="SimSun"/>
          <w:lang w:val="en-US" w:eastAsia="zh-CN"/>
        </w:rPr>
        <w:instrText xml:space="preserve"> REF _Ref506552998 \r \h </w:instrText>
      </w:r>
      <w:r>
        <w:rPr>
          <w:rFonts w:eastAsia="SimSun"/>
          <w:lang w:val="en-US" w:eastAsia="zh-CN"/>
        </w:rPr>
      </w:r>
      <w:r>
        <w:rPr>
          <w:rFonts w:eastAsia="SimSun"/>
          <w:lang w:val="en-US" w:eastAsia="zh-CN"/>
        </w:rPr>
        <w:fldChar w:fldCharType="separate"/>
      </w:r>
      <w:r w:rsidR="006F740F">
        <w:rPr>
          <w:rFonts w:eastAsia="SimSun"/>
          <w:lang w:val="en-US" w:eastAsia="zh-CN"/>
        </w:rPr>
        <w:t>[2]</w:t>
      </w:r>
      <w:r>
        <w:rPr>
          <w:rFonts w:eastAsia="SimSun"/>
          <w:lang w:val="en-US" w:eastAsia="zh-CN"/>
        </w:rPr>
        <w:fldChar w:fldCharType="end"/>
      </w:r>
      <w:r w:rsidRPr="00FD578C">
        <w:rPr>
          <w:rFonts w:eastAsia="SimSun"/>
          <w:lang w:val="en-US" w:eastAsia="zh-CN"/>
        </w:rPr>
        <w:t>. For URLLC the target for user plane latency should be 0.5ms for UL and 0.5ms for DL.</w:t>
      </w:r>
    </w:p>
    <w:p w:rsidR="00AF2915" w:rsidRPr="00AF2915" w:rsidRDefault="000D406F" w:rsidP="00AF2915">
      <w:pPr>
        <w:spacing w:after="120"/>
        <w:textAlignment w:val="center"/>
        <w:rPr>
          <w:rFonts w:eastAsia="SimSun"/>
          <w:lang w:val="en-US" w:eastAsia="zh-CN"/>
        </w:rPr>
      </w:pPr>
      <w:r>
        <w:rPr>
          <w:rFonts w:eastAsia="SimSun"/>
          <w:lang w:val="en-US" w:eastAsia="zh-CN"/>
        </w:rPr>
        <w:t>In RAN#78</w:t>
      </w:r>
      <w:r w:rsidR="00AF2915" w:rsidRPr="00AF2915">
        <w:rPr>
          <w:rFonts w:eastAsia="SimSun"/>
          <w:lang w:val="en-US" w:eastAsia="zh-CN"/>
        </w:rPr>
        <w:t xml:space="preserve"> meeting, </w:t>
      </w:r>
      <w:r>
        <w:rPr>
          <w:rFonts w:eastAsia="SimSun"/>
          <w:lang w:val="en-US" w:eastAsia="zh-CN"/>
        </w:rPr>
        <w:t>the</w:t>
      </w:r>
      <w:r w:rsidR="00AF2915" w:rsidRPr="00AF2915">
        <w:rPr>
          <w:rFonts w:eastAsia="SimSun"/>
          <w:lang w:val="en-US" w:eastAsia="zh-CN"/>
        </w:rPr>
        <w:t xml:space="preserve"> following agreements were</w:t>
      </w:r>
      <w:r>
        <w:rPr>
          <w:rFonts w:eastAsia="SimSun"/>
          <w:lang w:val="en-US" w:eastAsia="zh-CN"/>
        </w:rPr>
        <w:t xml:space="preserve"> made </w:t>
      </w:r>
      <w:r>
        <w:rPr>
          <w:rFonts w:eastAsia="SimSun"/>
          <w:lang w:val="en-US" w:eastAsia="zh-CN"/>
        </w:rPr>
        <w:fldChar w:fldCharType="begin"/>
      </w:r>
      <w:r>
        <w:rPr>
          <w:rFonts w:eastAsia="SimSun"/>
          <w:lang w:val="en-US" w:eastAsia="zh-CN"/>
        </w:rPr>
        <w:instrText xml:space="preserve"> REF _Ref506572380 \r \h </w:instrText>
      </w:r>
      <w:r>
        <w:rPr>
          <w:rFonts w:eastAsia="SimSun"/>
          <w:lang w:val="en-US" w:eastAsia="zh-CN"/>
        </w:rPr>
      </w:r>
      <w:r>
        <w:rPr>
          <w:rFonts w:eastAsia="SimSun"/>
          <w:lang w:val="en-US" w:eastAsia="zh-CN"/>
        </w:rPr>
        <w:fldChar w:fldCharType="separate"/>
      </w:r>
      <w:r w:rsidR="006F740F">
        <w:rPr>
          <w:rFonts w:eastAsia="SimSun"/>
          <w:lang w:val="en-US" w:eastAsia="zh-CN"/>
        </w:rPr>
        <w:t>[3]</w:t>
      </w:r>
      <w:r>
        <w:rPr>
          <w:rFonts w:eastAsia="SimSun"/>
          <w:lang w:val="en-US" w:eastAsia="zh-CN"/>
        </w:rPr>
        <w:fldChar w:fldCharType="end"/>
      </w:r>
      <w:r>
        <w:rPr>
          <w:rFonts w:eastAsia="SimSun"/>
          <w:lang w:val="en-US" w:eastAsia="zh-CN"/>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8"/>
      </w:tblGrid>
      <w:tr w:rsidR="00AF2915" w:rsidRPr="00AF2915" w:rsidTr="00F31A57">
        <w:tc>
          <w:tcPr>
            <w:tcW w:w="8998" w:type="dxa"/>
            <w:shd w:val="clear" w:color="auto" w:fill="auto"/>
          </w:tcPr>
          <w:p w:rsidR="00902810" w:rsidRPr="00902810" w:rsidRDefault="00902810" w:rsidP="00902810">
            <w:pPr>
              <w:tabs>
                <w:tab w:val="left" w:pos="567"/>
              </w:tabs>
              <w:snapToGrid w:val="0"/>
              <w:spacing w:after="0"/>
              <w:rPr>
                <w:rFonts w:eastAsia="Times New Roman"/>
                <w:lang w:val="en-US" w:eastAsia="ja-JP"/>
              </w:rPr>
            </w:pPr>
            <w:r w:rsidRPr="00902810">
              <w:rPr>
                <w:rFonts w:eastAsia="Times New Roman"/>
                <w:lang w:val="en-US" w:eastAsia="ja-JP"/>
              </w:rPr>
              <w:t>Proposed scope in RAN1:</w:t>
            </w:r>
          </w:p>
          <w:p w:rsidR="00902810" w:rsidRPr="00902810" w:rsidRDefault="00902810" w:rsidP="00902810">
            <w:pPr>
              <w:pStyle w:val="ListParagraph"/>
              <w:numPr>
                <w:ilvl w:val="0"/>
                <w:numId w:val="11"/>
              </w:numPr>
              <w:tabs>
                <w:tab w:val="left" w:pos="567"/>
              </w:tabs>
              <w:snapToGrid w:val="0"/>
              <w:spacing w:after="0"/>
              <w:rPr>
                <w:rFonts w:eastAsia="Times New Roman"/>
                <w:lang w:val="en-US" w:eastAsia="ja-JP"/>
              </w:rPr>
            </w:pPr>
            <w:r w:rsidRPr="00902810">
              <w:rPr>
                <w:rFonts w:eastAsia="Times New Roman"/>
                <w:lang w:val="en-US" w:eastAsia="ja-JP"/>
              </w:rPr>
              <w:t>Specify, CQI table and MCS table design targeting high reliability</w:t>
            </w:r>
          </w:p>
          <w:p w:rsidR="00902810" w:rsidRPr="00902810" w:rsidRDefault="00902810" w:rsidP="00902810">
            <w:pPr>
              <w:pStyle w:val="ListParagraph"/>
              <w:numPr>
                <w:ilvl w:val="1"/>
                <w:numId w:val="11"/>
              </w:numPr>
              <w:tabs>
                <w:tab w:val="left" w:pos="567"/>
              </w:tabs>
              <w:snapToGrid w:val="0"/>
              <w:spacing w:after="0"/>
              <w:rPr>
                <w:rFonts w:eastAsia="Times New Roman"/>
                <w:lang w:val="en-US" w:eastAsia="ja-JP"/>
              </w:rPr>
            </w:pPr>
            <w:r w:rsidRPr="00902810">
              <w:rPr>
                <w:rFonts w:eastAsia="Times New Roman"/>
                <w:lang w:val="en-US" w:eastAsia="ja-JP"/>
              </w:rPr>
              <w:t>Based on the following identified need from RAN1 (RAN1 #90bis)</w:t>
            </w:r>
          </w:p>
          <w:p w:rsidR="00902810" w:rsidRPr="00902810" w:rsidRDefault="00902810" w:rsidP="00902810">
            <w:pPr>
              <w:pStyle w:val="ListParagraph"/>
              <w:numPr>
                <w:ilvl w:val="2"/>
                <w:numId w:val="11"/>
              </w:numPr>
              <w:tabs>
                <w:tab w:val="left" w:pos="567"/>
              </w:tabs>
              <w:snapToGrid w:val="0"/>
              <w:spacing w:after="0"/>
              <w:rPr>
                <w:rFonts w:eastAsia="Times New Roman"/>
                <w:lang w:val="en-US" w:eastAsia="ja-JP"/>
              </w:rPr>
            </w:pPr>
            <w:r w:rsidRPr="00902810">
              <w:rPr>
                <w:rFonts w:eastAsia="Times New Roman"/>
                <w:lang w:val="en-US" w:eastAsia="ja-JP"/>
              </w:rPr>
              <w:t>Agreement:</w:t>
            </w:r>
          </w:p>
          <w:p w:rsidR="00902810" w:rsidRPr="00902810" w:rsidRDefault="00902810" w:rsidP="00902810">
            <w:pPr>
              <w:pStyle w:val="ListParagraph"/>
              <w:numPr>
                <w:ilvl w:val="3"/>
                <w:numId w:val="11"/>
              </w:numPr>
              <w:tabs>
                <w:tab w:val="left" w:pos="567"/>
              </w:tabs>
              <w:snapToGrid w:val="0"/>
              <w:spacing w:after="0"/>
              <w:rPr>
                <w:rFonts w:eastAsia="Times New Roman"/>
                <w:lang w:val="en-US" w:eastAsia="ja-JP"/>
              </w:rPr>
            </w:pPr>
            <w:r w:rsidRPr="00902810">
              <w:rPr>
                <w:rFonts w:eastAsia="Times New Roman"/>
                <w:lang w:val="en-US" w:eastAsia="ja-JP"/>
              </w:rPr>
              <w:t>N separate CQI table(s) are supported for URLLC</w:t>
            </w:r>
          </w:p>
          <w:p w:rsidR="00902810" w:rsidRPr="00902810" w:rsidRDefault="00902810" w:rsidP="00902810">
            <w:pPr>
              <w:pStyle w:val="ListParagraph"/>
              <w:numPr>
                <w:ilvl w:val="4"/>
                <w:numId w:val="11"/>
              </w:numPr>
              <w:tabs>
                <w:tab w:val="left" w:pos="567"/>
              </w:tabs>
              <w:snapToGrid w:val="0"/>
              <w:spacing w:after="0"/>
              <w:rPr>
                <w:rFonts w:eastAsia="Times New Roman"/>
                <w:lang w:val="en-US" w:eastAsia="ja-JP"/>
              </w:rPr>
            </w:pPr>
            <w:r w:rsidRPr="00902810">
              <w:rPr>
                <w:rFonts w:eastAsia="Times New Roman"/>
                <w:lang w:val="en-US" w:eastAsia="ja-JP"/>
              </w:rPr>
              <w:t>Downselect the value of N between 1 or 2</w:t>
            </w:r>
          </w:p>
          <w:p w:rsidR="00902810" w:rsidRPr="00902810" w:rsidRDefault="00902810" w:rsidP="00902810">
            <w:pPr>
              <w:pStyle w:val="ListParagraph"/>
              <w:numPr>
                <w:ilvl w:val="3"/>
                <w:numId w:val="11"/>
              </w:numPr>
              <w:tabs>
                <w:tab w:val="left" w:pos="567"/>
              </w:tabs>
              <w:snapToGrid w:val="0"/>
              <w:spacing w:after="0"/>
              <w:rPr>
                <w:rFonts w:eastAsia="Times New Roman"/>
                <w:lang w:val="en-US" w:eastAsia="ja-JP"/>
              </w:rPr>
            </w:pPr>
            <w:r w:rsidRPr="00902810">
              <w:rPr>
                <w:rFonts w:eastAsia="Times New Roman"/>
                <w:lang w:val="en-US" w:eastAsia="ja-JP"/>
              </w:rPr>
              <w:t>Two target BLER are supported for URLLC</w:t>
            </w:r>
          </w:p>
          <w:p w:rsidR="00902810" w:rsidRPr="00902810" w:rsidRDefault="00902810" w:rsidP="00902810">
            <w:pPr>
              <w:pStyle w:val="ListParagraph"/>
              <w:numPr>
                <w:ilvl w:val="4"/>
                <w:numId w:val="11"/>
              </w:numPr>
              <w:tabs>
                <w:tab w:val="left" w:pos="567"/>
              </w:tabs>
              <w:snapToGrid w:val="0"/>
              <w:spacing w:after="0"/>
              <w:rPr>
                <w:rFonts w:eastAsia="Times New Roman"/>
                <w:lang w:val="en-US" w:eastAsia="ja-JP"/>
              </w:rPr>
            </w:pPr>
            <w:r w:rsidRPr="00902810">
              <w:rPr>
                <w:rFonts w:eastAsia="Times New Roman"/>
                <w:lang w:val="en-US" w:eastAsia="ja-JP"/>
              </w:rPr>
              <w:t>Note: RRC signalling is used by gNB to select one of the two target BLER</w:t>
            </w:r>
          </w:p>
          <w:p w:rsidR="00902810" w:rsidRPr="00902810" w:rsidRDefault="00902810" w:rsidP="00902810">
            <w:pPr>
              <w:pStyle w:val="ListParagraph"/>
              <w:numPr>
                <w:ilvl w:val="4"/>
                <w:numId w:val="11"/>
              </w:numPr>
              <w:tabs>
                <w:tab w:val="left" w:pos="567"/>
              </w:tabs>
              <w:snapToGrid w:val="0"/>
              <w:spacing w:after="0"/>
              <w:rPr>
                <w:rFonts w:eastAsia="Times New Roman"/>
                <w:lang w:val="en-US" w:eastAsia="ja-JP"/>
              </w:rPr>
            </w:pPr>
            <w:r w:rsidRPr="00902810">
              <w:rPr>
                <w:rFonts w:eastAsia="Times New Roman"/>
                <w:lang w:val="en-US" w:eastAsia="ja-JP"/>
              </w:rPr>
              <w:t>Note: The configuration of target BLER or CQI table is part of CSI report setting</w:t>
            </w:r>
          </w:p>
          <w:p w:rsidR="00902810" w:rsidRPr="00902810" w:rsidRDefault="00902810" w:rsidP="00902810">
            <w:pPr>
              <w:pStyle w:val="ListParagraph"/>
              <w:numPr>
                <w:ilvl w:val="0"/>
                <w:numId w:val="11"/>
              </w:numPr>
              <w:tabs>
                <w:tab w:val="left" w:pos="567"/>
              </w:tabs>
              <w:snapToGrid w:val="0"/>
              <w:spacing w:after="0"/>
              <w:rPr>
                <w:rFonts w:eastAsia="Times New Roman"/>
                <w:lang w:val="en-US" w:eastAsia="ja-JP"/>
              </w:rPr>
            </w:pPr>
            <w:r w:rsidRPr="00902810">
              <w:rPr>
                <w:rFonts w:eastAsia="Times New Roman"/>
                <w:lang w:val="en-US" w:eastAsia="ja-JP"/>
              </w:rPr>
              <w:t>Study and specify if gains are identified</w:t>
            </w:r>
          </w:p>
          <w:p w:rsidR="00902810" w:rsidRPr="00902810" w:rsidRDefault="00902810" w:rsidP="00902810">
            <w:pPr>
              <w:pStyle w:val="ListParagraph"/>
              <w:numPr>
                <w:ilvl w:val="1"/>
                <w:numId w:val="11"/>
              </w:numPr>
              <w:tabs>
                <w:tab w:val="left" w:pos="567"/>
              </w:tabs>
              <w:snapToGrid w:val="0"/>
              <w:spacing w:after="0"/>
              <w:rPr>
                <w:rFonts w:eastAsia="Times New Roman"/>
                <w:lang w:val="en-US" w:eastAsia="ja-JP"/>
              </w:rPr>
            </w:pPr>
            <w:r w:rsidRPr="00902810">
              <w:rPr>
                <w:rFonts w:eastAsia="Times New Roman"/>
                <w:lang w:val="en-US" w:eastAsia="ja-JP"/>
              </w:rPr>
              <w:t>Define a new DCI format(s) that has a smaller DCI payload size than DCI format 0-0 and DCI format 1-0 unicast data</w:t>
            </w:r>
          </w:p>
          <w:p w:rsidR="00902810" w:rsidRPr="00902810" w:rsidRDefault="00902810" w:rsidP="00902810">
            <w:pPr>
              <w:pStyle w:val="ListParagraph"/>
              <w:numPr>
                <w:ilvl w:val="1"/>
                <w:numId w:val="11"/>
              </w:numPr>
              <w:tabs>
                <w:tab w:val="left" w:pos="567"/>
              </w:tabs>
              <w:snapToGrid w:val="0"/>
              <w:spacing w:after="0"/>
              <w:rPr>
                <w:rFonts w:eastAsia="Times New Roman"/>
                <w:lang w:val="en-US" w:eastAsia="ja-JP"/>
              </w:rPr>
            </w:pPr>
            <w:r w:rsidRPr="00902810">
              <w:rPr>
                <w:rFonts w:eastAsia="Times New Roman"/>
                <w:lang w:val="en-US" w:eastAsia="ja-JP"/>
              </w:rPr>
              <w:t>For a given carrier, PDCCH repetitions over same or multiple PDCCH monitoring occasion(s) of the same or multiple CORESET and search space</w:t>
            </w:r>
          </w:p>
          <w:p w:rsidR="00AF2915" w:rsidRPr="00902810" w:rsidRDefault="00902810" w:rsidP="00902810">
            <w:pPr>
              <w:pStyle w:val="ListParagraph"/>
              <w:numPr>
                <w:ilvl w:val="1"/>
                <w:numId w:val="11"/>
              </w:numPr>
              <w:tabs>
                <w:tab w:val="left" w:pos="567"/>
              </w:tabs>
              <w:snapToGrid w:val="0"/>
              <w:spacing w:after="0"/>
              <w:rPr>
                <w:rFonts w:eastAsia="Times New Roman"/>
                <w:lang w:val="en-US" w:eastAsia="ja-JP"/>
              </w:rPr>
            </w:pPr>
            <w:r w:rsidRPr="00902810">
              <w:rPr>
                <w:rFonts w:eastAsia="Times New Roman"/>
                <w:lang w:val="en-US" w:eastAsia="ja-JP"/>
              </w:rPr>
              <w:t xml:space="preserve">Handle UL multiplexing of transmission with different reliability requirements (including the potential need for UL UE pre-emption) </w:t>
            </w:r>
          </w:p>
        </w:tc>
      </w:tr>
    </w:tbl>
    <w:p w:rsidR="007D72E0" w:rsidRDefault="007D72E0" w:rsidP="004C62B3">
      <w:pPr>
        <w:spacing w:after="0"/>
        <w:rPr>
          <w:rFonts w:eastAsia="MS Mincho"/>
          <w:lang w:eastAsia="ja-JP"/>
        </w:rPr>
      </w:pPr>
    </w:p>
    <w:p w:rsidR="009A0569" w:rsidRPr="009A0569" w:rsidRDefault="009A0569" w:rsidP="004C62B3">
      <w:pPr>
        <w:spacing w:after="0"/>
        <w:rPr>
          <w:rFonts w:eastAsia="MS Mincho"/>
          <w:lang w:eastAsia="ja-JP"/>
        </w:rPr>
      </w:pPr>
      <w:r w:rsidRPr="009A0569">
        <w:rPr>
          <w:rFonts w:eastAsia="MS Mincho"/>
          <w:lang w:eastAsia="ja-JP"/>
        </w:rPr>
        <w:t xml:space="preserve">In this contribution, we </w:t>
      </w:r>
      <w:r w:rsidR="002D6DE8">
        <w:rPr>
          <w:rFonts w:eastAsia="MS Mincho"/>
          <w:lang w:eastAsia="ja-JP"/>
        </w:rPr>
        <w:t>discuss</w:t>
      </w:r>
      <w:r w:rsidR="006F740F">
        <w:rPr>
          <w:rFonts w:eastAsia="MS Mincho"/>
          <w:lang w:eastAsia="ja-JP"/>
        </w:rPr>
        <w:t xml:space="preserve"> and provide proposals on</w:t>
      </w:r>
      <w:r w:rsidR="002D6DE8">
        <w:rPr>
          <w:rFonts w:eastAsia="MS Mincho"/>
          <w:lang w:eastAsia="ja-JP"/>
        </w:rPr>
        <w:t xml:space="preserve"> the compact DCI for URLLC in NR</w:t>
      </w:r>
      <w:r w:rsidR="004C62B3">
        <w:rPr>
          <w:rFonts w:eastAsia="MS Mincho"/>
          <w:lang w:eastAsia="ja-JP"/>
        </w:rPr>
        <w:t>.</w:t>
      </w:r>
    </w:p>
    <w:p w:rsidR="007134D5" w:rsidRDefault="0065544C" w:rsidP="0065544C">
      <w:pPr>
        <w:pStyle w:val="Heading1"/>
        <w:rPr>
          <w:lang w:eastAsia="ko-KR"/>
        </w:rPr>
      </w:pPr>
      <w:r w:rsidRPr="0065544C">
        <w:rPr>
          <w:lang w:eastAsia="ko-KR"/>
        </w:rPr>
        <w:t>Discussion</w:t>
      </w:r>
    </w:p>
    <w:p w:rsidR="00902810" w:rsidRDefault="00902810" w:rsidP="00902810">
      <w:pPr>
        <w:jc w:val="both"/>
        <w:rPr>
          <w:rFonts w:eastAsia="Times New Roman"/>
          <w:lang w:val="en-US" w:eastAsia="ja-JP"/>
        </w:rPr>
      </w:pPr>
      <w:r>
        <w:rPr>
          <w:rFonts w:eastAsia="MS Mincho"/>
          <w:lang w:eastAsia="ja-JP"/>
        </w:rPr>
        <w:t>As mentioned above in the proposed</w:t>
      </w:r>
      <w:r w:rsidR="0040163D">
        <w:rPr>
          <w:rFonts w:eastAsia="MS Mincho"/>
          <w:lang w:eastAsia="ja-JP"/>
        </w:rPr>
        <w:t xml:space="preserve"> scope </w:t>
      </w:r>
      <w:r>
        <w:rPr>
          <w:rFonts w:eastAsia="MS Mincho"/>
          <w:lang w:eastAsia="ja-JP"/>
        </w:rPr>
        <w:t xml:space="preserve">of RAN1, </w:t>
      </w:r>
      <w:r>
        <w:rPr>
          <w:rFonts w:eastAsia="Times New Roman"/>
          <w:lang w:val="en-US" w:eastAsia="ja-JP"/>
        </w:rPr>
        <w:t>a new DCI format</w:t>
      </w:r>
      <w:r w:rsidRPr="00902810">
        <w:rPr>
          <w:rFonts w:eastAsia="Times New Roman"/>
          <w:lang w:val="en-US" w:eastAsia="ja-JP"/>
        </w:rPr>
        <w:t xml:space="preserve"> that has a smaller DCI payload size than DCI format 0-0 and DCI format 1-0 </w:t>
      </w:r>
      <w:r>
        <w:rPr>
          <w:rFonts w:eastAsia="Times New Roman"/>
          <w:lang w:val="en-US" w:eastAsia="ja-JP"/>
        </w:rPr>
        <w:t xml:space="preserve">should be studied to see if there is </w:t>
      </w:r>
      <w:r w:rsidR="001451E9">
        <w:rPr>
          <w:rFonts w:eastAsia="Times New Roman"/>
          <w:lang w:val="en-US" w:eastAsia="ja-JP"/>
        </w:rPr>
        <w:t xml:space="preserve">a </w:t>
      </w:r>
      <w:r>
        <w:rPr>
          <w:rFonts w:eastAsia="Times New Roman"/>
          <w:lang w:val="en-US" w:eastAsia="ja-JP"/>
        </w:rPr>
        <w:t xml:space="preserve">gain </w:t>
      </w:r>
      <w:r w:rsidR="001451E9">
        <w:rPr>
          <w:rFonts w:eastAsia="Times New Roman"/>
          <w:lang w:val="en-US" w:eastAsia="ja-JP"/>
        </w:rPr>
        <w:t>in</w:t>
      </w:r>
      <w:r>
        <w:rPr>
          <w:rFonts w:eastAsia="Times New Roman"/>
          <w:lang w:val="en-US" w:eastAsia="ja-JP"/>
        </w:rPr>
        <w:t xml:space="preserve"> utilizing such compact DCI </w:t>
      </w:r>
      <w:r w:rsidR="001451E9">
        <w:rPr>
          <w:rFonts w:eastAsia="Times New Roman"/>
          <w:lang w:val="en-US" w:eastAsia="ja-JP"/>
        </w:rPr>
        <w:t>for</w:t>
      </w:r>
      <w:r>
        <w:rPr>
          <w:rFonts w:eastAsia="Times New Roman"/>
          <w:lang w:val="en-US" w:eastAsia="ja-JP"/>
        </w:rPr>
        <w:t xml:space="preserve"> URLLC services. Using smaller DCI size will lower the effective code rate of the DL control, which should enhance the reliability of the PDCCH.</w:t>
      </w:r>
      <w:r w:rsidR="0040163D">
        <w:rPr>
          <w:rFonts w:eastAsia="Times New Roman"/>
          <w:lang w:val="en-US" w:eastAsia="ja-JP"/>
        </w:rPr>
        <w:t xml:space="preserve"> </w:t>
      </w:r>
      <w:r>
        <w:rPr>
          <w:rFonts w:eastAsia="Times New Roman"/>
          <w:lang w:val="en-US" w:eastAsia="ja-JP"/>
        </w:rPr>
        <w:t xml:space="preserve">Considering that the fallback DCI (DCI formats </w:t>
      </w:r>
      <w:r w:rsidRPr="00902810">
        <w:rPr>
          <w:rFonts w:eastAsia="Times New Roman"/>
          <w:lang w:val="en-US" w:eastAsia="ja-JP"/>
        </w:rPr>
        <w:t>0_0</w:t>
      </w:r>
      <w:r>
        <w:rPr>
          <w:rFonts w:eastAsia="Times New Roman"/>
          <w:lang w:val="en-US" w:eastAsia="ja-JP"/>
        </w:rPr>
        <w:t xml:space="preserve"> and 1_0)</w:t>
      </w:r>
      <w:r w:rsidR="00365844">
        <w:rPr>
          <w:rFonts w:eastAsia="Times New Roman"/>
          <w:lang w:val="en-US" w:eastAsia="ja-JP"/>
        </w:rPr>
        <w:t>,</w:t>
      </w:r>
      <w:r>
        <w:rPr>
          <w:rFonts w:eastAsia="Times New Roman"/>
          <w:lang w:val="en-US" w:eastAsia="ja-JP"/>
        </w:rPr>
        <w:t xml:space="preserve"> relatively</w:t>
      </w:r>
      <w:r w:rsidR="00365844">
        <w:rPr>
          <w:rFonts w:eastAsia="Times New Roman"/>
          <w:lang w:val="en-US" w:eastAsia="ja-JP"/>
        </w:rPr>
        <w:t>,</w:t>
      </w:r>
      <w:r>
        <w:rPr>
          <w:rFonts w:eastAsia="Times New Roman"/>
          <w:lang w:val="en-US" w:eastAsia="ja-JP"/>
        </w:rPr>
        <w:t xml:space="preserve"> has small payload size, it is logic</w:t>
      </w:r>
      <w:r w:rsidR="00052230">
        <w:rPr>
          <w:rFonts w:eastAsia="Times New Roman"/>
          <w:lang w:val="en-US" w:eastAsia="ja-JP"/>
        </w:rPr>
        <w:t>al to use it as starting point.</w:t>
      </w:r>
      <w:r w:rsidR="002B091A">
        <w:rPr>
          <w:rFonts w:eastAsia="Times New Roman"/>
          <w:lang w:val="en-US" w:eastAsia="ja-JP"/>
        </w:rPr>
        <w:t xml:space="preserve"> </w:t>
      </w:r>
      <w:r w:rsidR="002B091A">
        <w:rPr>
          <w:rFonts w:eastAsia="Times New Roman"/>
          <w:lang w:val="en-US" w:eastAsia="ja-JP"/>
        </w:rPr>
        <w:fldChar w:fldCharType="begin"/>
      </w:r>
      <w:r w:rsidR="002B091A">
        <w:rPr>
          <w:rFonts w:eastAsia="Times New Roman"/>
          <w:lang w:val="en-US" w:eastAsia="ja-JP"/>
        </w:rPr>
        <w:instrText xml:space="preserve"> REF _Ref506566305 \h </w:instrText>
      </w:r>
      <w:r w:rsidR="002B091A">
        <w:rPr>
          <w:rFonts w:eastAsia="Times New Roman"/>
          <w:lang w:val="en-US" w:eastAsia="ja-JP"/>
        </w:rPr>
      </w:r>
      <w:r w:rsidR="002B091A">
        <w:rPr>
          <w:rFonts w:eastAsia="Times New Roman"/>
          <w:lang w:val="en-US" w:eastAsia="ja-JP"/>
        </w:rPr>
        <w:fldChar w:fldCharType="separate"/>
      </w:r>
      <w:r w:rsidR="006F740F" w:rsidRPr="00922E39">
        <w:t xml:space="preserve">Table </w:t>
      </w:r>
      <w:r w:rsidR="006F740F">
        <w:rPr>
          <w:noProof/>
        </w:rPr>
        <w:t>1</w:t>
      </w:r>
      <w:r w:rsidR="002B091A">
        <w:rPr>
          <w:rFonts w:eastAsia="Times New Roman"/>
          <w:lang w:val="en-US" w:eastAsia="ja-JP"/>
        </w:rPr>
        <w:fldChar w:fldCharType="end"/>
      </w:r>
      <w:r w:rsidR="002B091A">
        <w:rPr>
          <w:rFonts w:eastAsia="Times New Roman"/>
          <w:lang w:val="en-US" w:eastAsia="ja-JP"/>
        </w:rPr>
        <w:t xml:space="preserve"> shows the details of the fallback DCI fields</w:t>
      </w:r>
      <w:r w:rsidR="008F2DC9">
        <w:rPr>
          <w:rFonts w:eastAsia="Times New Roman"/>
          <w:lang w:val="en-US" w:eastAsia="ja-JP"/>
        </w:rPr>
        <w:t xml:space="preserve"> based on the current specifications</w:t>
      </w:r>
      <w:r w:rsidR="00B612C4">
        <w:rPr>
          <w:rFonts w:eastAsia="Times New Roman"/>
          <w:lang w:val="en-US" w:eastAsia="ja-JP"/>
        </w:rPr>
        <w:t xml:space="preserve"> </w:t>
      </w:r>
      <w:r w:rsidR="006B1D09">
        <w:rPr>
          <w:rFonts w:eastAsia="Times New Roman"/>
          <w:lang w:val="en-US" w:eastAsia="ja-JP"/>
        </w:rPr>
        <w:fldChar w:fldCharType="begin"/>
      </w:r>
      <w:r w:rsidR="006B1D09">
        <w:rPr>
          <w:rFonts w:eastAsia="Times New Roman"/>
          <w:lang w:val="en-US" w:eastAsia="ja-JP"/>
        </w:rPr>
        <w:instrText xml:space="preserve"> REF _Ref506572048 \r \h </w:instrText>
      </w:r>
      <w:r w:rsidR="006B1D09">
        <w:rPr>
          <w:rFonts w:eastAsia="Times New Roman"/>
          <w:lang w:val="en-US" w:eastAsia="ja-JP"/>
        </w:rPr>
      </w:r>
      <w:r w:rsidR="006B1D09">
        <w:rPr>
          <w:rFonts w:eastAsia="Times New Roman"/>
          <w:lang w:val="en-US" w:eastAsia="ja-JP"/>
        </w:rPr>
        <w:fldChar w:fldCharType="separate"/>
      </w:r>
      <w:r w:rsidR="006F740F">
        <w:rPr>
          <w:rFonts w:eastAsia="Times New Roman"/>
          <w:lang w:val="en-US" w:eastAsia="ja-JP"/>
        </w:rPr>
        <w:t>[4]</w:t>
      </w:r>
      <w:r w:rsidR="006B1D09">
        <w:rPr>
          <w:rFonts w:eastAsia="Times New Roman"/>
          <w:lang w:val="en-US" w:eastAsia="ja-JP"/>
        </w:rPr>
        <w:fldChar w:fldCharType="end"/>
      </w:r>
      <w:r w:rsidR="002B091A">
        <w:rPr>
          <w:rFonts w:eastAsia="Times New Roman"/>
          <w:lang w:val="en-US" w:eastAsia="ja-JP"/>
        </w:rPr>
        <w:t>.</w:t>
      </w:r>
    </w:p>
    <w:p w:rsidR="00052230" w:rsidRDefault="002B091A" w:rsidP="002B091A">
      <w:pPr>
        <w:spacing w:after="0"/>
        <w:jc w:val="center"/>
        <w:rPr>
          <w:rFonts w:eastAsia="Times New Roman"/>
          <w:lang w:val="en-US" w:eastAsia="ja-JP"/>
        </w:rPr>
      </w:pPr>
      <w:bookmarkStart w:id="2" w:name="_Ref506566305"/>
      <w:r w:rsidRPr="00922E39">
        <w:t xml:space="preserve">Table </w:t>
      </w:r>
      <w:r w:rsidRPr="00922E39">
        <w:fldChar w:fldCharType="begin"/>
      </w:r>
      <w:r w:rsidRPr="00922E39">
        <w:instrText xml:space="preserve"> SEQ Table \* ARABIC </w:instrText>
      </w:r>
      <w:r w:rsidRPr="00922E39">
        <w:fldChar w:fldCharType="separate"/>
      </w:r>
      <w:r w:rsidR="006F740F">
        <w:rPr>
          <w:noProof/>
        </w:rPr>
        <w:t>1</w:t>
      </w:r>
      <w:r w:rsidRPr="00922E39">
        <w:fldChar w:fldCharType="end"/>
      </w:r>
      <w:bookmarkEnd w:id="2"/>
      <w:r w:rsidRPr="00922E39">
        <w:t xml:space="preserve">: </w:t>
      </w:r>
      <w:r>
        <w:t>Fallback DCI fields.</w:t>
      </w:r>
    </w:p>
    <w:tbl>
      <w:tblPr>
        <w:tblStyle w:val="TableGrid"/>
        <w:tblW w:w="7650" w:type="dxa"/>
        <w:jc w:val="center"/>
        <w:tblLook w:val="04A0" w:firstRow="1" w:lastRow="0" w:firstColumn="1" w:lastColumn="0" w:noHBand="0" w:noVBand="1"/>
      </w:tblPr>
      <w:tblGrid>
        <w:gridCol w:w="3823"/>
        <w:gridCol w:w="3827"/>
      </w:tblGrid>
      <w:tr w:rsidR="00D80AC8" w:rsidRPr="00BA457C" w:rsidTr="00D80AC8">
        <w:trPr>
          <w:trHeight w:val="255"/>
          <w:jc w:val="center"/>
        </w:trPr>
        <w:tc>
          <w:tcPr>
            <w:tcW w:w="3823" w:type="dxa"/>
            <w:noWrap/>
            <w:hideMark/>
          </w:tcPr>
          <w:p w:rsidR="00D80AC8" w:rsidRPr="00D80AC8" w:rsidRDefault="00D80AC8" w:rsidP="00905387">
            <w:pPr>
              <w:rPr>
                <w:b/>
                <w:bCs/>
                <w:lang w:val="en-US"/>
              </w:rPr>
            </w:pPr>
            <w:r w:rsidRPr="00D80AC8">
              <w:rPr>
                <w:rFonts w:eastAsia="Times New Roman"/>
                <w:b/>
                <w:lang w:val="en-US" w:eastAsia="ja-JP"/>
              </w:rPr>
              <w:t>Fallback DCI fields</w:t>
            </w:r>
          </w:p>
        </w:tc>
        <w:tc>
          <w:tcPr>
            <w:tcW w:w="3827" w:type="dxa"/>
            <w:noWrap/>
            <w:hideMark/>
          </w:tcPr>
          <w:p w:rsidR="00D80AC8" w:rsidRPr="00BA457C" w:rsidRDefault="00D80AC8" w:rsidP="00905387">
            <w:pPr>
              <w:rPr>
                <w:b/>
                <w:bCs/>
              </w:rPr>
            </w:pPr>
            <w:r w:rsidRPr="00BA457C">
              <w:rPr>
                <w:b/>
                <w:bCs/>
              </w:rPr>
              <w:t>Bits</w:t>
            </w:r>
          </w:p>
        </w:tc>
      </w:tr>
      <w:tr w:rsidR="00D80AC8" w:rsidRPr="00BA457C" w:rsidTr="0040163D">
        <w:trPr>
          <w:trHeight w:val="227"/>
          <w:jc w:val="center"/>
        </w:trPr>
        <w:tc>
          <w:tcPr>
            <w:tcW w:w="3823" w:type="dxa"/>
            <w:noWrap/>
            <w:hideMark/>
          </w:tcPr>
          <w:p w:rsidR="00D80AC8" w:rsidRPr="00BA457C" w:rsidRDefault="00D80AC8" w:rsidP="00052230">
            <w:pPr>
              <w:spacing w:after="0"/>
            </w:pPr>
            <w:r w:rsidRPr="00902810">
              <w:t>Identifier for DCI formats</w:t>
            </w:r>
          </w:p>
        </w:tc>
        <w:tc>
          <w:tcPr>
            <w:tcW w:w="3827" w:type="dxa"/>
            <w:noWrap/>
            <w:hideMark/>
          </w:tcPr>
          <w:p w:rsidR="00D80AC8" w:rsidRPr="00BA457C" w:rsidRDefault="00D80AC8" w:rsidP="00052230">
            <w:pPr>
              <w:spacing w:after="0"/>
            </w:pPr>
            <w:r>
              <w:t>1</w:t>
            </w:r>
          </w:p>
        </w:tc>
      </w:tr>
      <w:tr w:rsidR="00D80AC8" w:rsidRPr="00BA457C" w:rsidTr="0040163D">
        <w:trPr>
          <w:trHeight w:val="227"/>
          <w:jc w:val="center"/>
        </w:trPr>
        <w:tc>
          <w:tcPr>
            <w:tcW w:w="3823" w:type="dxa"/>
            <w:noWrap/>
            <w:hideMark/>
          </w:tcPr>
          <w:p w:rsidR="00D80AC8" w:rsidRPr="00BA457C" w:rsidRDefault="00D80AC8" w:rsidP="00DC4552">
            <w:pPr>
              <w:spacing w:after="0"/>
            </w:pPr>
            <w:r w:rsidRPr="00902810">
              <w:t>Frequency domain resource assignment</w:t>
            </w:r>
          </w:p>
        </w:tc>
        <w:tc>
          <w:tcPr>
            <w:tcW w:w="3827" w:type="dxa"/>
            <w:noWrap/>
            <w:hideMark/>
          </w:tcPr>
          <w:p w:rsidR="00D80AC8" w:rsidRPr="00D80AC8" w:rsidRDefault="00D80AC8" w:rsidP="00D80AC8">
            <w:pPr>
              <w:spacing w:after="0"/>
              <w:rPr>
                <w:rFonts w:eastAsia="Times New Roman"/>
                <w:lang w:val="en-US" w:eastAsia="ja-JP"/>
              </w:rPr>
            </w:pPr>
            <w:r>
              <w:t>9-16 (</w:t>
            </w:r>
            <m:oMath>
              <m:sSubSup>
                <m:sSubSupPr>
                  <m:ctrlPr>
                    <w:rPr>
                      <w:rFonts w:ascii="Cambria Math" w:eastAsia="Calibri" w:hAnsi="Cambria Math"/>
                      <w:i/>
                    </w:rPr>
                  </m:ctrlPr>
                </m:sSubSupPr>
                <m:e>
                  <m:r>
                    <w:rPr>
                      <w:rFonts w:ascii="Cambria Math" w:eastAsia="Calibri" w:hAnsi="Cambria Math"/>
                    </w:rPr>
                    <m:t>N</m:t>
                  </m:r>
                </m:e>
                <m:sub>
                  <m:r>
                    <w:rPr>
                      <w:rFonts w:ascii="Cambria Math" w:eastAsia="Calibri" w:hAnsi="Cambria Math"/>
                    </w:rPr>
                    <m:t>RB</m:t>
                  </m:r>
                </m:sub>
                <m:sup>
                  <m:r>
                    <w:rPr>
                      <w:rFonts w:ascii="Cambria Math" w:eastAsia="Calibri" w:hAnsi="Cambria Math"/>
                    </w:rPr>
                    <m:t>DL,BWP</m:t>
                  </m:r>
                </m:sup>
              </m:sSubSup>
            </m:oMath>
            <w:r w:rsidRPr="00052230">
              <w:t xml:space="preserve"> ranges between 24 and 275</w:t>
            </w:r>
            <w:r>
              <w:rPr>
                <w:rFonts w:eastAsia="Times New Roman"/>
                <w:lang w:val="en-US" w:eastAsia="ja-JP"/>
              </w:rPr>
              <w:t>)</w:t>
            </w:r>
          </w:p>
        </w:tc>
      </w:tr>
      <w:tr w:rsidR="00D80AC8" w:rsidRPr="00BA457C" w:rsidTr="0040163D">
        <w:trPr>
          <w:trHeight w:val="227"/>
          <w:jc w:val="center"/>
        </w:trPr>
        <w:tc>
          <w:tcPr>
            <w:tcW w:w="3823" w:type="dxa"/>
            <w:hideMark/>
          </w:tcPr>
          <w:p w:rsidR="00D80AC8" w:rsidRPr="00BA457C" w:rsidRDefault="00D80AC8" w:rsidP="00DC4552">
            <w:pPr>
              <w:spacing w:after="0"/>
            </w:pPr>
            <w:r w:rsidRPr="00BA457C">
              <w:t>Time-domain PDSCH resources</w:t>
            </w:r>
          </w:p>
        </w:tc>
        <w:tc>
          <w:tcPr>
            <w:tcW w:w="3827" w:type="dxa"/>
            <w:hideMark/>
          </w:tcPr>
          <w:p w:rsidR="00D80AC8" w:rsidRPr="00BA457C" w:rsidRDefault="00D80AC8" w:rsidP="00DC4552">
            <w:pPr>
              <w:spacing w:after="0"/>
            </w:pPr>
            <w:r>
              <w:t>0-2</w:t>
            </w:r>
          </w:p>
        </w:tc>
      </w:tr>
      <w:tr w:rsidR="00D80AC8" w:rsidRPr="00BA457C" w:rsidTr="0040163D">
        <w:trPr>
          <w:trHeight w:val="227"/>
          <w:jc w:val="center"/>
        </w:trPr>
        <w:tc>
          <w:tcPr>
            <w:tcW w:w="3823" w:type="dxa"/>
          </w:tcPr>
          <w:p w:rsidR="00D80AC8" w:rsidRPr="00FB5918" w:rsidRDefault="00D80AC8" w:rsidP="00FB5918">
            <w:pPr>
              <w:spacing w:after="0"/>
            </w:pPr>
            <w:r w:rsidRPr="00052230">
              <w:t>VRB-to-PRB mapping</w:t>
            </w:r>
          </w:p>
        </w:tc>
        <w:tc>
          <w:tcPr>
            <w:tcW w:w="3827" w:type="dxa"/>
          </w:tcPr>
          <w:p w:rsidR="00D80AC8" w:rsidRDefault="00D80AC8" w:rsidP="00FB5918">
            <w:pPr>
              <w:spacing w:after="0"/>
            </w:pPr>
            <w:r>
              <w:t>1</w:t>
            </w:r>
          </w:p>
        </w:tc>
      </w:tr>
      <w:tr w:rsidR="00D80AC8" w:rsidRPr="00BA457C" w:rsidTr="0040163D">
        <w:trPr>
          <w:trHeight w:val="227"/>
          <w:jc w:val="center"/>
        </w:trPr>
        <w:tc>
          <w:tcPr>
            <w:tcW w:w="3823" w:type="dxa"/>
          </w:tcPr>
          <w:p w:rsidR="00D80AC8" w:rsidRPr="008F7F55" w:rsidRDefault="00D80AC8" w:rsidP="00DC4552">
            <w:pPr>
              <w:spacing w:after="0"/>
            </w:pPr>
            <w:r w:rsidRPr="00BA457C">
              <w:lastRenderedPageBreak/>
              <w:t xml:space="preserve">Modulation and coding scheme </w:t>
            </w:r>
          </w:p>
        </w:tc>
        <w:tc>
          <w:tcPr>
            <w:tcW w:w="3827" w:type="dxa"/>
          </w:tcPr>
          <w:p w:rsidR="00D80AC8" w:rsidRPr="008F7F55" w:rsidRDefault="00D80AC8" w:rsidP="00DC4552">
            <w:pPr>
              <w:spacing w:after="0"/>
            </w:pPr>
            <w:r>
              <w:t>5</w:t>
            </w:r>
          </w:p>
        </w:tc>
      </w:tr>
      <w:tr w:rsidR="00D80AC8" w:rsidRPr="00BA457C" w:rsidTr="0040163D">
        <w:trPr>
          <w:trHeight w:val="227"/>
          <w:jc w:val="center"/>
        </w:trPr>
        <w:tc>
          <w:tcPr>
            <w:tcW w:w="3823" w:type="dxa"/>
          </w:tcPr>
          <w:p w:rsidR="00D80AC8" w:rsidRPr="008F7F55" w:rsidRDefault="00D80AC8" w:rsidP="00052230">
            <w:pPr>
              <w:spacing w:after="0"/>
              <w:rPr>
                <w:strike/>
              </w:rPr>
            </w:pPr>
            <w:r w:rsidRPr="00BA457C">
              <w:t>New data indicator</w:t>
            </w:r>
          </w:p>
        </w:tc>
        <w:tc>
          <w:tcPr>
            <w:tcW w:w="3827" w:type="dxa"/>
          </w:tcPr>
          <w:p w:rsidR="00D80AC8" w:rsidRPr="008F7F55" w:rsidRDefault="00D80AC8" w:rsidP="00052230">
            <w:pPr>
              <w:spacing w:after="0"/>
              <w:rPr>
                <w:strike/>
              </w:rPr>
            </w:pPr>
            <w:r w:rsidRPr="00BA457C">
              <w:t>1</w:t>
            </w:r>
          </w:p>
        </w:tc>
      </w:tr>
      <w:tr w:rsidR="00D80AC8" w:rsidRPr="00BA457C" w:rsidTr="0040163D">
        <w:trPr>
          <w:trHeight w:val="227"/>
          <w:jc w:val="center"/>
        </w:trPr>
        <w:tc>
          <w:tcPr>
            <w:tcW w:w="3823" w:type="dxa"/>
            <w:noWrap/>
          </w:tcPr>
          <w:p w:rsidR="00D80AC8" w:rsidRPr="00BA457C" w:rsidRDefault="00D80AC8" w:rsidP="00052230">
            <w:pPr>
              <w:spacing w:after="0"/>
            </w:pPr>
            <w:r w:rsidRPr="00BA457C">
              <w:t>Redundancy version</w:t>
            </w:r>
          </w:p>
        </w:tc>
        <w:tc>
          <w:tcPr>
            <w:tcW w:w="3827" w:type="dxa"/>
            <w:noWrap/>
          </w:tcPr>
          <w:p w:rsidR="00D80AC8" w:rsidRPr="00BA457C" w:rsidRDefault="00D80AC8" w:rsidP="00052230">
            <w:pPr>
              <w:spacing w:after="0"/>
            </w:pPr>
            <w:r>
              <w:t>2</w:t>
            </w:r>
          </w:p>
        </w:tc>
      </w:tr>
      <w:tr w:rsidR="00D80AC8" w:rsidRPr="00BA457C" w:rsidTr="0040163D">
        <w:trPr>
          <w:trHeight w:val="227"/>
          <w:jc w:val="center"/>
        </w:trPr>
        <w:tc>
          <w:tcPr>
            <w:tcW w:w="3823" w:type="dxa"/>
            <w:noWrap/>
          </w:tcPr>
          <w:p w:rsidR="00D80AC8" w:rsidRPr="00BA457C" w:rsidRDefault="00D80AC8" w:rsidP="00052230">
            <w:pPr>
              <w:spacing w:after="0"/>
            </w:pPr>
            <w:r w:rsidRPr="00BA457C">
              <w:t xml:space="preserve">HARQ process number </w:t>
            </w:r>
          </w:p>
        </w:tc>
        <w:tc>
          <w:tcPr>
            <w:tcW w:w="3827" w:type="dxa"/>
            <w:noWrap/>
          </w:tcPr>
          <w:p w:rsidR="00D80AC8" w:rsidRPr="00BA457C" w:rsidRDefault="00D80AC8" w:rsidP="00052230">
            <w:pPr>
              <w:spacing w:after="0"/>
            </w:pPr>
            <w:r>
              <w:t>4</w:t>
            </w:r>
          </w:p>
        </w:tc>
      </w:tr>
      <w:tr w:rsidR="00D80AC8" w:rsidRPr="00BA457C" w:rsidTr="0040163D">
        <w:trPr>
          <w:trHeight w:val="227"/>
          <w:jc w:val="center"/>
        </w:trPr>
        <w:tc>
          <w:tcPr>
            <w:tcW w:w="3823" w:type="dxa"/>
            <w:noWrap/>
          </w:tcPr>
          <w:p w:rsidR="00D80AC8" w:rsidRPr="00927012" w:rsidRDefault="00D80AC8" w:rsidP="00052230">
            <w:pPr>
              <w:spacing w:after="0"/>
            </w:pPr>
            <w:r w:rsidRPr="00052230">
              <w:t>Downlink assignment index</w:t>
            </w:r>
          </w:p>
        </w:tc>
        <w:tc>
          <w:tcPr>
            <w:tcW w:w="3827" w:type="dxa"/>
            <w:noWrap/>
          </w:tcPr>
          <w:p w:rsidR="00D80AC8" w:rsidRPr="00927012" w:rsidRDefault="00D80AC8" w:rsidP="00052230">
            <w:pPr>
              <w:spacing w:after="0"/>
            </w:pPr>
            <w:r>
              <w:t>2</w:t>
            </w:r>
          </w:p>
        </w:tc>
      </w:tr>
      <w:tr w:rsidR="00D80AC8" w:rsidRPr="00BA457C" w:rsidTr="0040163D">
        <w:trPr>
          <w:trHeight w:val="227"/>
          <w:jc w:val="center"/>
        </w:trPr>
        <w:tc>
          <w:tcPr>
            <w:tcW w:w="3823" w:type="dxa"/>
            <w:noWrap/>
            <w:hideMark/>
          </w:tcPr>
          <w:p w:rsidR="00D80AC8" w:rsidRPr="00927012" w:rsidRDefault="00D80AC8" w:rsidP="00052230">
            <w:pPr>
              <w:spacing w:after="0"/>
            </w:pPr>
            <w:r w:rsidRPr="00927012">
              <w:t xml:space="preserve">TPC command for </w:t>
            </w:r>
            <w:r w:rsidRPr="00052230">
              <w:t>scheduled PUCCH</w:t>
            </w:r>
          </w:p>
        </w:tc>
        <w:tc>
          <w:tcPr>
            <w:tcW w:w="3827" w:type="dxa"/>
            <w:noWrap/>
            <w:hideMark/>
          </w:tcPr>
          <w:p w:rsidR="00D80AC8" w:rsidRPr="00927012" w:rsidRDefault="00D80AC8" w:rsidP="00052230">
            <w:pPr>
              <w:spacing w:after="0"/>
            </w:pPr>
            <w:r>
              <w:t>2</w:t>
            </w:r>
          </w:p>
        </w:tc>
      </w:tr>
      <w:tr w:rsidR="00D80AC8" w:rsidRPr="00BA457C" w:rsidTr="0040163D">
        <w:trPr>
          <w:trHeight w:val="227"/>
          <w:jc w:val="center"/>
        </w:trPr>
        <w:tc>
          <w:tcPr>
            <w:tcW w:w="3823" w:type="dxa"/>
            <w:noWrap/>
          </w:tcPr>
          <w:p w:rsidR="00D80AC8" w:rsidRPr="00927012" w:rsidRDefault="00D80AC8" w:rsidP="00052230">
            <w:pPr>
              <w:spacing w:after="0"/>
            </w:pPr>
            <w:r w:rsidRPr="00052230">
              <w:t>PUCCH resource indicator</w:t>
            </w:r>
          </w:p>
        </w:tc>
        <w:tc>
          <w:tcPr>
            <w:tcW w:w="3827" w:type="dxa"/>
            <w:noWrap/>
          </w:tcPr>
          <w:p w:rsidR="00D80AC8" w:rsidRPr="00927012" w:rsidRDefault="00D80AC8" w:rsidP="00052230">
            <w:pPr>
              <w:spacing w:after="0"/>
            </w:pPr>
            <w:r>
              <w:t>2</w:t>
            </w:r>
          </w:p>
        </w:tc>
      </w:tr>
      <w:tr w:rsidR="00D80AC8" w:rsidRPr="00BA457C" w:rsidTr="0040163D">
        <w:trPr>
          <w:trHeight w:val="227"/>
          <w:jc w:val="center"/>
        </w:trPr>
        <w:tc>
          <w:tcPr>
            <w:tcW w:w="3823" w:type="dxa"/>
            <w:noWrap/>
          </w:tcPr>
          <w:p w:rsidR="00D80AC8" w:rsidRPr="00927012" w:rsidRDefault="00D80AC8" w:rsidP="00052230">
            <w:pPr>
              <w:spacing w:after="0"/>
            </w:pPr>
            <w:r w:rsidRPr="00927012">
              <w:rPr>
                <w:rFonts w:hint="eastAsia"/>
              </w:rPr>
              <w:t>PDSCH-to-HARQ feedback timing indicator</w:t>
            </w:r>
          </w:p>
        </w:tc>
        <w:tc>
          <w:tcPr>
            <w:tcW w:w="3827" w:type="dxa"/>
            <w:noWrap/>
          </w:tcPr>
          <w:p w:rsidR="00D80AC8" w:rsidRPr="00927012" w:rsidRDefault="00D80AC8" w:rsidP="00052230">
            <w:pPr>
              <w:spacing w:after="0"/>
            </w:pPr>
            <w:r>
              <w:t>3</w:t>
            </w:r>
          </w:p>
        </w:tc>
      </w:tr>
      <w:tr w:rsidR="00D80AC8" w:rsidRPr="00BA457C" w:rsidTr="0040163D">
        <w:trPr>
          <w:trHeight w:val="227"/>
          <w:jc w:val="center"/>
        </w:trPr>
        <w:tc>
          <w:tcPr>
            <w:tcW w:w="3823" w:type="dxa"/>
            <w:noWrap/>
            <w:hideMark/>
          </w:tcPr>
          <w:p w:rsidR="00D80AC8" w:rsidRPr="00AC4305" w:rsidRDefault="00D80AC8" w:rsidP="00052230">
            <w:pPr>
              <w:spacing w:after="0"/>
              <w:rPr>
                <w:b/>
                <w:bCs/>
              </w:rPr>
            </w:pPr>
            <w:r w:rsidRPr="00AC4305">
              <w:rPr>
                <w:b/>
                <w:bCs/>
              </w:rPr>
              <w:t>Payload size</w:t>
            </w:r>
          </w:p>
        </w:tc>
        <w:tc>
          <w:tcPr>
            <w:tcW w:w="3827" w:type="dxa"/>
            <w:noWrap/>
            <w:hideMark/>
          </w:tcPr>
          <w:p w:rsidR="00D80AC8" w:rsidRPr="00AC4305" w:rsidRDefault="00D80AC8" w:rsidP="00052230">
            <w:pPr>
              <w:spacing w:after="0"/>
              <w:rPr>
                <w:b/>
              </w:rPr>
            </w:pPr>
            <w:r w:rsidRPr="00AC4305">
              <w:rPr>
                <w:b/>
              </w:rPr>
              <w:t>32-41</w:t>
            </w:r>
          </w:p>
        </w:tc>
      </w:tr>
      <w:tr w:rsidR="00D80AC8" w:rsidRPr="00BA457C" w:rsidTr="0040163D">
        <w:trPr>
          <w:trHeight w:val="227"/>
          <w:jc w:val="center"/>
        </w:trPr>
        <w:tc>
          <w:tcPr>
            <w:tcW w:w="3823" w:type="dxa"/>
            <w:noWrap/>
            <w:hideMark/>
          </w:tcPr>
          <w:p w:rsidR="00D80AC8" w:rsidRPr="00AC4305" w:rsidRDefault="00D80AC8" w:rsidP="00052230">
            <w:pPr>
              <w:spacing w:after="0"/>
              <w:rPr>
                <w:b/>
              </w:rPr>
            </w:pPr>
            <w:r w:rsidRPr="00AC4305">
              <w:rPr>
                <w:b/>
              </w:rPr>
              <w:t>CRC</w:t>
            </w:r>
          </w:p>
        </w:tc>
        <w:tc>
          <w:tcPr>
            <w:tcW w:w="3827" w:type="dxa"/>
            <w:noWrap/>
            <w:hideMark/>
          </w:tcPr>
          <w:p w:rsidR="00D80AC8" w:rsidRPr="00AC4305" w:rsidRDefault="00D80AC8" w:rsidP="00052230">
            <w:pPr>
              <w:spacing w:after="0"/>
              <w:rPr>
                <w:b/>
              </w:rPr>
            </w:pPr>
            <w:r w:rsidRPr="00AC4305">
              <w:rPr>
                <w:b/>
              </w:rPr>
              <w:t>24</w:t>
            </w:r>
          </w:p>
        </w:tc>
      </w:tr>
      <w:tr w:rsidR="00D80AC8" w:rsidRPr="00BA457C" w:rsidTr="0040163D">
        <w:trPr>
          <w:trHeight w:val="227"/>
          <w:jc w:val="center"/>
        </w:trPr>
        <w:tc>
          <w:tcPr>
            <w:tcW w:w="3823" w:type="dxa"/>
            <w:noWrap/>
            <w:hideMark/>
          </w:tcPr>
          <w:p w:rsidR="00D80AC8" w:rsidRPr="00AC4305" w:rsidRDefault="00D80AC8" w:rsidP="00052230">
            <w:pPr>
              <w:spacing w:after="0"/>
              <w:rPr>
                <w:b/>
                <w:bCs/>
              </w:rPr>
            </w:pPr>
            <w:r w:rsidRPr="00AC4305">
              <w:rPr>
                <w:b/>
                <w:bCs/>
              </w:rPr>
              <w:t>Payload size including CRC</w:t>
            </w:r>
          </w:p>
        </w:tc>
        <w:tc>
          <w:tcPr>
            <w:tcW w:w="3827" w:type="dxa"/>
            <w:noWrap/>
            <w:hideMark/>
          </w:tcPr>
          <w:p w:rsidR="00D80AC8" w:rsidRPr="00AC4305" w:rsidRDefault="00D80AC8" w:rsidP="00052230">
            <w:pPr>
              <w:spacing w:after="0"/>
              <w:rPr>
                <w:b/>
              </w:rPr>
            </w:pPr>
            <w:r w:rsidRPr="00AC4305">
              <w:rPr>
                <w:b/>
              </w:rPr>
              <w:t>56-65</w:t>
            </w:r>
          </w:p>
        </w:tc>
      </w:tr>
    </w:tbl>
    <w:p w:rsidR="00902810" w:rsidRDefault="00902810" w:rsidP="00902810">
      <w:pPr>
        <w:jc w:val="both"/>
        <w:rPr>
          <w:rFonts w:eastAsia="Times New Roman"/>
          <w:lang w:val="en-US" w:eastAsia="ja-JP"/>
        </w:rPr>
      </w:pPr>
    </w:p>
    <w:p w:rsidR="00895E48" w:rsidRDefault="002B091A" w:rsidP="00902810">
      <w:pPr>
        <w:jc w:val="both"/>
        <w:rPr>
          <w:rFonts w:eastAsia="Times New Roman"/>
          <w:lang w:val="en-US" w:eastAsia="ja-JP"/>
        </w:rPr>
      </w:pPr>
      <w:r>
        <w:rPr>
          <w:rFonts w:eastAsia="Times New Roman"/>
          <w:lang w:val="en-US" w:eastAsia="ja-JP"/>
        </w:rPr>
        <w:t>For URLLC, some of the fi</w:t>
      </w:r>
      <w:r w:rsidR="00895E48">
        <w:rPr>
          <w:rFonts w:eastAsia="Times New Roman"/>
          <w:lang w:val="en-US" w:eastAsia="ja-JP"/>
        </w:rPr>
        <w:t xml:space="preserve">elds can be removed </w:t>
      </w:r>
      <w:r w:rsidR="00D20A82">
        <w:rPr>
          <w:rFonts w:eastAsia="Times New Roman"/>
          <w:lang w:val="en-US" w:eastAsia="ja-JP"/>
        </w:rPr>
        <w:t xml:space="preserve">as they </w:t>
      </w:r>
      <w:r w:rsidR="0040163D">
        <w:rPr>
          <w:rFonts w:eastAsia="Times New Roman"/>
          <w:lang w:val="en-US" w:eastAsia="ja-JP"/>
        </w:rPr>
        <w:t xml:space="preserve">either </w:t>
      </w:r>
      <w:r w:rsidR="00D20A82">
        <w:rPr>
          <w:rFonts w:eastAsia="Times New Roman"/>
          <w:lang w:val="en-US" w:eastAsia="ja-JP"/>
        </w:rPr>
        <w:t xml:space="preserve">not essential or </w:t>
      </w:r>
      <w:r w:rsidR="0040163D">
        <w:rPr>
          <w:rFonts w:eastAsia="Times New Roman"/>
          <w:lang w:val="en-US" w:eastAsia="ja-JP"/>
        </w:rPr>
        <w:t xml:space="preserve">can be </w:t>
      </w:r>
      <w:r w:rsidR="00D20A82">
        <w:rPr>
          <w:rFonts w:eastAsia="Times New Roman"/>
          <w:lang w:val="en-US" w:eastAsia="ja-JP"/>
        </w:rPr>
        <w:t>fixed to predefined values</w:t>
      </w:r>
      <w:r w:rsidR="00895E48">
        <w:rPr>
          <w:rFonts w:eastAsia="Times New Roman"/>
          <w:lang w:val="en-US" w:eastAsia="ja-JP"/>
        </w:rPr>
        <w:t>.</w:t>
      </w:r>
      <w:r w:rsidR="00D20A82">
        <w:rPr>
          <w:rFonts w:eastAsia="Times New Roman"/>
          <w:lang w:val="en-US" w:eastAsia="ja-JP"/>
        </w:rPr>
        <w:t xml:space="preserve"> Also,</w:t>
      </w:r>
      <w:r w:rsidR="0040163D">
        <w:rPr>
          <w:rFonts w:eastAsia="Times New Roman"/>
          <w:lang w:val="en-US" w:eastAsia="ja-JP"/>
        </w:rPr>
        <w:t xml:space="preserve"> some of the field</w:t>
      </w:r>
    </w:p>
    <w:p w:rsidR="00902810" w:rsidRPr="00895E48" w:rsidRDefault="002B091A" w:rsidP="00895E48">
      <w:pPr>
        <w:pStyle w:val="ListParagraph"/>
        <w:numPr>
          <w:ilvl w:val="0"/>
          <w:numId w:val="13"/>
        </w:numPr>
        <w:jc w:val="both"/>
        <w:rPr>
          <w:rFonts w:eastAsia="Times New Roman"/>
          <w:lang w:val="en-US" w:eastAsia="ja-JP"/>
        </w:rPr>
      </w:pPr>
      <w:r w:rsidRPr="00895E48">
        <w:rPr>
          <w:rFonts w:eastAsia="Times New Roman"/>
          <w:lang w:val="en-US" w:eastAsia="ja-JP"/>
        </w:rPr>
        <w:t>Some field</w:t>
      </w:r>
      <w:r w:rsidR="00895E48">
        <w:rPr>
          <w:rFonts w:eastAsia="Times New Roman"/>
          <w:lang w:val="en-US" w:eastAsia="ja-JP"/>
        </w:rPr>
        <w:t>s</w:t>
      </w:r>
      <w:r w:rsidRPr="00895E48">
        <w:rPr>
          <w:rFonts w:eastAsia="Times New Roman"/>
          <w:lang w:val="en-US" w:eastAsia="ja-JP"/>
        </w:rPr>
        <w:t xml:space="preserve"> can be fixed to a pre</w:t>
      </w:r>
      <w:r w:rsidR="00895E48">
        <w:rPr>
          <w:rFonts w:eastAsia="Times New Roman"/>
          <w:lang w:val="en-US" w:eastAsia="ja-JP"/>
        </w:rPr>
        <w:t>-</w:t>
      </w:r>
      <w:r w:rsidRPr="00895E48">
        <w:rPr>
          <w:rFonts w:eastAsia="Times New Roman"/>
          <w:lang w:val="en-US" w:eastAsia="ja-JP"/>
        </w:rPr>
        <w:t>defined value, such as ‘</w:t>
      </w:r>
      <w:r w:rsidRPr="00052230">
        <w:t>VRB-to-PRB mapping</w:t>
      </w:r>
      <w:r>
        <w:t>’ and ‘</w:t>
      </w:r>
      <w:r w:rsidRPr="00927012">
        <w:rPr>
          <w:rFonts w:hint="eastAsia"/>
        </w:rPr>
        <w:t>PDSCH-to-HARQ feedback timing indicator</w:t>
      </w:r>
      <w:r w:rsidR="00895E48">
        <w:t>’, and they can be removed from the DCI.</w:t>
      </w:r>
    </w:p>
    <w:p w:rsidR="00895E48" w:rsidRPr="00895E48" w:rsidRDefault="00895E48" w:rsidP="00895E48">
      <w:pPr>
        <w:pStyle w:val="ListParagraph"/>
        <w:numPr>
          <w:ilvl w:val="0"/>
          <w:numId w:val="13"/>
        </w:numPr>
        <w:jc w:val="both"/>
        <w:rPr>
          <w:rFonts w:eastAsia="Times New Roman"/>
          <w:lang w:val="en-US" w:eastAsia="ja-JP"/>
        </w:rPr>
      </w:pPr>
      <w:r>
        <w:t>The granularity of the frequency domain resource allocations can be reduced, which results in less number of bits to indicate the allocation</w:t>
      </w:r>
    </w:p>
    <w:p w:rsidR="00895E48" w:rsidRDefault="00895E48" w:rsidP="00895E48">
      <w:pPr>
        <w:pStyle w:val="ListParagraph"/>
        <w:numPr>
          <w:ilvl w:val="0"/>
          <w:numId w:val="13"/>
        </w:numPr>
        <w:jc w:val="both"/>
        <w:rPr>
          <w:rFonts w:eastAsia="Times New Roman"/>
          <w:lang w:val="en-US" w:eastAsia="ja-JP"/>
        </w:rPr>
      </w:pPr>
      <w:r>
        <w:rPr>
          <w:rFonts w:eastAsia="Times New Roman"/>
          <w:lang w:val="en-US" w:eastAsia="ja-JP"/>
        </w:rPr>
        <w:t>High modulation</w:t>
      </w:r>
      <w:r w:rsidRPr="00BA457C">
        <w:t xml:space="preserve"> and coding </w:t>
      </w:r>
      <w:r>
        <w:t>values are not expected to be used for URLLC traffic due to the high reliability requirement (</w:t>
      </w:r>
      <w:r w:rsidRPr="00895E48">
        <w:rPr>
          <w:rFonts w:eastAsia="Times New Roman"/>
          <w:lang w:val="en-US" w:eastAsia="ja-JP"/>
        </w:rPr>
        <w:t>BLER target of 10</w:t>
      </w:r>
      <w:r w:rsidRPr="00895E48">
        <w:rPr>
          <w:rFonts w:eastAsia="Times New Roman"/>
          <w:vertAlign w:val="superscript"/>
          <w:lang w:val="en-US" w:eastAsia="ja-JP"/>
        </w:rPr>
        <w:t>-5</w:t>
      </w:r>
      <w:r>
        <w:rPr>
          <w:rFonts w:eastAsia="Times New Roman"/>
          <w:lang w:val="en-US" w:eastAsia="ja-JP"/>
        </w:rPr>
        <w:t>)</w:t>
      </w:r>
      <w:r w:rsidRPr="00895E48">
        <w:rPr>
          <w:rFonts w:eastAsia="Times New Roman"/>
          <w:lang w:val="en-US" w:eastAsia="ja-JP"/>
        </w:rPr>
        <w:t xml:space="preserve">. A 4-bit MCS table with 16 entries is sufficient, as </w:t>
      </w:r>
      <w:r>
        <w:rPr>
          <w:rFonts w:eastAsia="Times New Roman"/>
          <w:lang w:val="en-US" w:eastAsia="ja-JP"/>
        </w:rPr>
        <w:t xml:space="preserve">discussed in </w:t>
      </w:r>
      <w:r>
        <w:rPr>
          <w:rFonts w:eastAsia="Times New Roman"/>
          <w:lang w:val="en-US" w:eastAsia="ja-JP"/>
        </w:rPr>
        <w:fldChar w:fldCharType="begin"/>
      </w:r>
      <w:r>
        <w:rPr>
          <w:rFonts w:eastAsia="Times New Roman"/>
          <w:lang w:val="en-US" w:eastAsia="ja-JP"/>
        </w:rPr>
        <w:instrText xml:space="preserve"> REF _Ref506567318 \r \h </w:instrText>
      </w:r>
      <w:r>
        <w:rPr>
          <w:rFonts w:eastAsia="Times New Roman"/>
          <w:lang w:val="en-US" w:eastAsia="ja-JP"/>
        </w:rPr>
      </w:r>
      <w:r>
        <w:rPr>
          <w:rFonts w:eastAsia="Times New Roman"/>
          <w:lang w:val="en-US" w:eastAsia="ja-JP"/>
        </w:rPr>
        <w:fldChar w:fldCharType="separate"/>
      </w:r>
      <w:r w:rsidR="006F740F">
        <w:rPr>
          <w:rFonts w:eastAsia="Times New Roman"/>
          <w:lang w:val="en-US" w:eastAsia="ja-JP"/>
        </w:rPr>
        <w:t>[5]</w:t>
      </w:r>
      <w:r>
        <w:rPr>
          <w:rFonts w:eastAsia="Times New Roman"/>
          <w:lang w:val="en-US" w:eastAsia="ja-JP"/>
        </w:rPr>
        <w:fldChar w:fldCharType="end"/>
      </w:r>
      <w:r>
        <w:rPr>
          <w:rFonts w:eastAsia="Times New Roman"/>
          <w:lang w:val="en-US" w:eastAsia="ja-JP"/>
        </w:rPr>
        <w:t>.</w:t>
      </w:r>
    </w:p>
    <w:p w:rsidR="00D20A82" w:rsidRPr="00D20A82" w:rsidRDefault="00D20A82" w:rsidP="00895E48">
      <w:pPr>
        <w:pStyle w:val="ListParagraph"/>
        <w:numPr>
          <w:ilvl w:val="0"/>
          <w:numId w:val="13"/>
        </w:numPr>
        <w:jc w:val="both"/>
        <w:rPr>
          <w:rFonts w:eastAsia="Times New Roman"/>
          <w:lang w:val="en-US" w:eastAsia="ja-JP"/>
        </w:rPr>
      </w:pPr>
      <w:r w:rsidRPr="00BA457C">
        <w:t>Redundancy version</w:t>
      </w:r>
      <w:r>
        <w:t xml:space="preserve">: given the required low latency, the possible number of HARQ retransmissions will be low compared to eMBB service. Thus, the redundancy version </w:t>
      </w:r>
      <w:bookmarkStart w:id="3" w:name="_GoBack"/>
      <w:bookmarkEnd w:id="3"/>
      <w:r>
        <w:t>field’s size can be reduced.</w:t>
      </w:r>
    </w:p>
    <w:p w:rsidR="00D20A82" w:rsidRPr="00895E48" w:rsidRDefault="00D20A82" w:rsidP="00895E48">
      <w:pPr>
        <w:pStyle w:val="ListParagraph"/>
        <w:numPr>
          <w:ilvl w:val="0"/>
          <w:numId w:val="13"/>
        </w:numPr>
        <w:jc w:val="both"/>
        <w:rPr>
          <w:rFonts w:eastAsia="Times New Roman"/>
          <w:lang w:val="en-US" w:eastAsia="ja-JP"/>
        </w:rPr>
      </w:pPr>
      <w:r w:rsidRPr="00BA457C">
        <w:t>HARQ process number</w:t>
      </w:r>
      <w:r w:rsidR="00926D99">
        <w:t xml:space="preserve">: Similarly, due to the </w:t>
      </w:r>
      <w:r>
        <w:t>low latency requirements, the HARQ round trip time will be shorter, and the total number of HARQ processes can be reduced.</w:t>
      </w:r>
    </w:p>
    <w:p w:rsidR="00902810" w:rsidRDefault="00D20A82" w:rsidP="00902810">
      <w:pPr>
        <w:jc w:val="both"/>
      </w:pPr>
      <w:r>
        <w:rPr>
          <w:rFonts w:eastAsia="Times New Roman"/>
          <w:lang w:val="en-US" w:eastAsia="ja-JP"/>
        </w:rPr>
        <w:t xml:space="preserve">An example of posable reductions for the fallback DCI are listed in </w:t>
      </w:r>
      <w:r>
        <w:rPr>
          <w:rFonts w:eastAsia="Times New Roman"/>
          <w:lang w:val="en-US" w:eastAsia="ja-JP"/>
        </w:rPr>
        <w:fldChar w:fldCharType="begin"/>
      </w:r>
      <w:r>
        <w:rPr>
          <w:rFonts w:eastAsia="Times New Roman"/>
          <w:lang w:val="en-US" w:eastAsia="ja-JP"/>
        </w:rPr>
        <w:instrText xml:space="preserve"> REF _Ref506568689 \h </w:instrText>
      </w:r>
      <w:r>
        <w:rPr>
          <w:rFonts w:eastAsia="Times New Roman"/>
          <w:lang w:val="en-US" w:eastAsia="ja-JP"/>
        </w:rPr>
      </w:r>
      <w:r>
        <w:rPr>
          <w:rFonts w:eastAsia="Times New Roman"/>
          <w:lang w:val="en-US" w:eastAsia="ja-JP"/>
        </w:rPr>
        <w:fldChar w:fldCharType="separate"/>
      </w:r>
      <w:r w:rsidR="006F740F" w:rsidRPr="00922E39">
        <w:t xml:space="preserve">Table </w:t>
      </w:r>
      <w:r w:rsidR="006F740F">
        <w:rPr>
          <w:noProof/>
        </w:rPr>
        <w:t>2</w:t>
      </w:r>
      <w:r>
        <w:rPr>
          <w:rFonts w:eastAsia="Times New Roman"/>
          <w:lang w:val="en-US" w:eastAsia="ja-JP"/>
        </w:rPr>
        <w:fldChar w:fldCharType="end"/>
      </w:r>
      <w:r>
        <w:rPr>
          <w:rFonts w:eastAsia="Times New Roman"/>
          <w:lang w:val="en-US" w:eastAsia="ja-JP"/>
        </w:rPr>
        <w:t xml:space="preserve">. As the table shows </w:t>
      </w:r>
      <w:r>
        <w:t>the fallback DCI size can be reduced by about 32-41%. However, when considering the CRC, the reduction will between 19% and 25%. This is due to the fact that the CRC size is relatively comparable to the fallback DCI.</w:t>
      </w:r>
    </w:p>
    <w:p w:rsidR="00D20A82" w:rsidRDefault="00D20A82" w:rsidP="00A07783">
      <w:pPr>
        <w:spacing w:after="0"/>
        <w:jc w:val="center"/>
      </w:pPr>
      <w:bookmarkStart w:id="4" w:name="_Ref506568689"/>
      <w:r w:rsidRPr="00922E39">
        <w:t xml:space="preserve">Table </w:t>
      </w:r>
      <w:r w:rsidRPr="00922E39">
        <w:fldChar w:fldCharType="begin"/>
      </w:r>
      <w:r w:rsidRPr="00922E39">
        <w:instrText xml:space="preserve"> SEQ Table \* ARABIC </w:instrText>
      </w:r>
      <w:r w:rsidRPr="00922E39">
        <w:fldChar w:fldCharType="separate"/>
      </w:r>
      <w:r w:rsidR="006F740F">
        <w:rPr>
          <w:noProof/>
        </w:rPr>
        <w:t>2</w:t>
      </w:r>
      <w:r w:rsidRPr="00922E39">
        <w:fldChar w:fldCharType="end"/>
      </w:r>
      <w:bookmarkEnd w:id="4"/>
      <w:r w:rsidRPr="00922E39">
        <w:t xml:space="preserve">: </w:t>
      </w:r>
      <w:r w:rsidR="007146EE">
        <w:t>Compact</w:t>
      </w:r>
      <w:r>
        <w:t xml:space="preserve"> DCI fields.</w:t>
      </w:r>
    </w:p>
    <w:tbl>
      <w:tblPr>
        <w:tblStyle w:val="TableGrid"/>
        <w:tblW w:w="8784" w:type="dxa"/>
        <w:jc w:val="center"/>
        <w:tblLook w:val="04A0" w:firstRow="1" w:lastRow="0" w:firstColumn="1" w:lastColumn="0" w:noHBand="0" w:noVBand="1"/>
      </w:tblPr>
      <w:tblGrid>
        <w:gridCol w:w="3964"/>
        <w:gridCol w:w="709"/>
        <w:gridCol w:w="4111"/>
      </w:tblGrid>
      <w:tr w:rsidR="00AC4305" w:rsidRPr="00BA457C" w:rsidTr="00D20A82">
        <w:trPr>
          <w:trHeight w:val="255"/>
          <w:jc w:val="center"/>
        </w:trPr>
        <w:tc>
          <w:tcPr>
            <w:tcW w:w="3964" w:type="dxa"/>
            <w:noWrap/>
            <w:hideMark/>
          </w:tcPr>
          <w:p w:rsidR="00AC4305" w:rsidRPr="00D80AC8" w:rsidRDefault="00D20A82" w:rsidP="00D20A82">
            <w:pPr>
              <w:rPr>
                <w:b/>
                <w:bCs/>
                <w:lang w:val="en-US"/>
              </w:rPr>
            </w:pPr>
            <w:r>
              <w:rPr>
                <w:rFonts w:eastAsia="Times New Roman"/>
                <w:b/>
                <w:lang w:val="en-US" w:eastAsia="ja-JP"/>
              </w:rPr>
              <w:t xml:space="preserve">Compact </w:t>
            </w:r>
            <w:r w:rsidR="00AC4305" w:rsidRPr="00D80AC8">
              <w:rPr>
                <w:rFonts w:eastAsia="Times New Roman"/>
                <w:b/>
                <w:lang w:val="en-US" w:eastAsia="ja-JP"/>
              </w:rPr>
              <w:t>DCI fields</w:t>
            </w:r>
          </w:p>
        </w:tc>
        <w:tc>
          <w:tcPr>
            <w:tcW w:w="709" w:type="dxa"/>
            <w:noWrap/>
            <w:hideMark/>
          </w:tcPr>
          <w:p w:rsidR="00AC4305" w:rsidRPr="00BA457C" w:rsidRDefault="00AC4305" w:rsidP="00905387">
            <w:pPr>
              <w:rPr>
                <w:b/>
                <w:bCs/>
              </w:rPr>
            </w:pPr>
            <w:r w:rsidRPr="00BA457C">
              <w:rPr>
                <w:b/>
                <w:bCs/>
              </w:rPr>
              <w:t>Bits</w:t>
            </w:r>
          </w:p>
        </w:tc>
        <w:tc>
          <w:tcPr>
            <w:tcW w:w="4111" w:type="dxa"/>
          </w:tcPr>
          <w:p w:rsidR="00AC4305" w:rsidRPr="00BA457C" w:rsidRDefault="00AC4305" w:rsidP="00905387">
            <w:pPr>
              <w:rPr>
                <w:b/>
                <w:bCs/>
              </w:rPr>
            </w:pPr>
            <w:r>
              <w:rPr>
                <w:b/>
                <w:bCs/>
              </w:rPr>
              <w:t xml:space="preserve">Justification </w:t>
            </w:r>
          </w:p>
        </w:tc>
      </w:tr>
      <w:tr w:rsidR="00AC4305" w:rsidRPr="00BA457C" w:rsidTr="00D20A82">
        <w:trPr>
          <w:trHeight w:val="255"/>
          <w:jc w:val="center"/>
        </w:trPr>
        <w:tc>
          <w:tcPr>
            <w:tcW w:w="3964" w:type="dxa"/>
            <w:noWrap/>
            <w:hideMark/>
          </w:tcPr>
          <w:p w:rsidR="00AC4305" w:rsidRPr="00BA457C" w:rsidRDefault="00AC4305" w:rsidP="00905387">
            <w:pPr>
              <w:spacing w:after="0"/>
            </w:pPr>
            <w:r w:rsidRPr="00902810">
              <w:t>Identifier for DCI formats</w:t>
            </w:r>
          </w:p>
        </w:tc>
        <w:tc>
          <w:tcPr>
            <w:tcW w:w="709" w:type="dxa"/>
            <w:noWrap/>
            <w:hideMark/>
          </w:tcPr>
          <w:p w:rsidR="00AC4305" w:rsidRPr="00BA457C" w:rsidRDefault="00AC4305" w:rsidP="00905387">
            <w:pPr>
              <w:spacing w:after="0"/>
            </w:pPr>
            <w:r>
              <w:t>1</w:t>
            </w:r>
          </w:p>
        </w:tc>
        <w:tc>
          <w:tcPr>
            <w:tcW w:w="4111" w:type="dxa"/>
          </w:tcPr>
          <w:p w:rsidR="00AC4305" w:rsidRDefault="00AC4305" w:rsidP="00905387">
            <w:pPr>
              <w:spacing w:after="0"/>
            </w:pPr>
          </w:p>
        </w:tc>
      </w:tr>
      <w:tr w:rsidR="00AC4305" w:rsidRPr="00BA457C" w:rsidTr="00D20A82">
        <w:trPr>
          <w:trHeight w:val="255"/>
          <w:jc w:val="center"/>
        </w:trPr>
        <w:tc>
          <w:tcPr>
            <w:tcW w:w="3964" w:type="dxa"/>
            <w:noWrap/>
            <w:hideMark/>
          </w:tcPr>
          <w:p w:rsidR="00AC4305" w:rsidRPr="00BA457C" w:rsidRDefault="00AC4305" w:rsidP="00D80AC8">
            <w:pPr>
              <w:spacing w:after="0"/>
            </w:pPr>
            <w:r w:rsidRPr="00902810">
              <w:t>Frequency domain resource assignment</w:t>
            </w:r>
          </w:p>
        </w:tc>
        <w:tc>
          <w:tcPr>
            <w:tcW w:w="709" w:type="dxa"/>
            <w:noWrap/>
            <w:hideMark/>
          </w:tcPr>
          <w:p w:rsidR="00AC4305" w:rsidRPr="00D80AC8" w:rsidRDefault="003741E9" w:rsidP="003741E9">
            <w:pPr>
              <w:spacing w:after="0"/>
              <w:rPr>
                <w:rFonts w:eastAsia="Times New Roman"/>
                <w:lang w:val="en-US" w:eastAsia="ja-JP"/>
              </w:rPr>
            </w:pPr>
            <w:r>
              <w:rPr>
                <w:color w:val="FF0000"/>
              </w:rPr>
              <w:t>8</w:t>
            </w:r>
            <w:r w:rsidR="00AC4305" w:rsidRPr="00B93DBC">
              <w:rPr>
                <w:color w:val="FF0000"/>
              </w:rPr>
              <w:t>-</w:t>
            </w:r>
            <w:r>
              <w:rPr>
                <w:color w:val="FF0000"/>
              </w:rPr>
              <w:t>10</w:t>
            </w:r>
          </w:p>
        </w:tc>
        <w:tc>
          <w:tcPr>
            <w:tcW w:w="4111" w:type="dxa"/>
          </w:tcPr>
          <w:p w:rsidR="00AC4305" w:rsidRDefault="00D20A82" w:rsidP="00D80AC8">
            <w:pPr>
              <w:spacing w:after="0"/>
            </w:pPr>
            <w:r>
              <w:t>Coarser granularity in the resource allocation</w:t>
            </w:r>
          </w:p>
        </w:tc>
      </w:tr>
      <w:tr w:rsidR="00AC4305" w:rsidRPr="00BA457C" w:rsidTr="00D20A82">
        <w:trPr>
          <w:trHeight w:val="255"/>
          <w:jc w:val="center"/>
        </w:trPr>
        <w:tc>
          <w:tcPr>
            <w:tcW w:w="3964" w:type="dxa"/>
            <w:hideMark/>
          </w:tcPr>
          <w:p w:rsidR="00AC4305" w:rsidRPr="00BA457C" w:rsidRDefault="00AC4305" w:rsidP="00905387">
            <w:pPr>
              <w:spacing w:after="0"/>
            </w:pPr>
            <w:r w:rsidRPr="00BA457C">
              <w:t>Time-domain PDSCH resources</w:t>
            </w:r>
          </w:p>
        </w:tc>
        <w:tc>
          <w:tcPr>
            <w:tcW w:w="709" w:type="dxa"/>
            <w:hideMark/>
          </w:tcPr>
          <w:p w:rsidR="00AC4305" w:rsidRPr="00BA457C" w:rsidRDefault="00AC4305" w:rsidP="00905387">
            <w:pPr>
              <w:spacing w:after="0"/>
            </w:pPr>
            <w:r>
              <w:t>0-2</w:t>
            </w:r>
          </w:p>
        </w:tc>
        <w:tc>
          <w:tcPr>
            <w:tcW w:w="4111" w:type="dxa"/>
          </w:tcPr>
          <w:p w:rsidR="00AC4305" w:rsidRDefault="00AC4305" w:rsidP="00905387">
            <w:pPr>
              <w:spacing w:after="0"/>
            </w:pPr>
          </w:p>
        </w:tc>
      </w:tr>
      <w:tr w:rsidR="00AC4305" w:rsidRPr="00BA457C" w:rsidTr="00D20A82">
        <w:trPr>
          <w:trHeight w:val="255"/>
          <w:jc w:val="center"/>
        </w:trPr>
        <w:tc>
          <w:tcPr>
            <w:tcW w:w="3964" w:type="dxa"/>
          </w:tcPr>
          <w:p w:rsidR="00AC4305" w:rsidRPr="00FB5918" w:rsidRDefault="00AC4305" w:rsidP="00905387">
            <w:pPr>
              <w:spacing w:after="0"/>
            </w:pPr>
            <w:r w:rsidRPr="00052230">
              <w:t>VRB-to-PRB mapping</w:t>
            </w:r>
          </w:p>
        </w:tc>
        <w:tc>
          <w:tcPr>
            <w:tcW w:w="709" w:type="dxa"/>
          </w:tcPr>
          <w:p w:rsidR="00AC4305" w:rsidRDefault="00AC4305" w:rsidP="00905387">
            <w:pPr>
              <w:spacing w:after="0"/>
            </w:pPr>
            <w:r w:rsidRPr="00AC4305">
              <w:rPr>
                <w:color w:val="FF0000"/>
              </w:rPr>
              <w:t>0</w:t>
            </w:r>
          </w:p>
        </w:tc>
        <w:tc>
          <w:tcPr>
            <w:tcW w:w="4111" w:type="dxa"/>
          </w:tcPr>
          <w:p w:rsidR="00AC4305" w:rsidRDefault="00D20A82" w:rsidP="00905387">
            <w:pPr>
              <w:spacing w:after="0"/>
            </w:pPr>
            <w:r>
              <w:t xml:space="preserve">Fixed configuration </w:t>
            </w:r>
            <w:r w:rsidR="00AC4305">
              <w:t>(enable or disabled)</w:t>
            </w:r>
          </w:p>
        </w:tc>
      </w:tr>
      <w:tr w:rsidR="00AC4305" w:rsidRPr="00BA457C" w:rsidTr="00D20A82">
        <w:trPr>
          <w:trHeight w:val="255"/>
          <w:jc w:val="center"/>
        </w:trPr>
        <w:tc>
          <w:tcPr>
            <w:tcW w:w="3964" w:type="dxa"/>
          </w:tcPr>
          <w:p w:rsidR="00AC4305" w:rsidRPr="008F7F55" w:rsidRDefault="00AC4305" w:rsidP="00905387">
            <w:pPr>
              <w:spacing w:after="0"/>
            </w:pPr>
            <w:r w:rsidRPr="00BA457C">
              <w:t xml:space="preserve">Modulation and coding scheme </w:t>
            </w:r>
          </w:p>
        </w:tc>
        <w:tc>
          <w:tcPr>
            <w:tcW w:w="709" w:type="dxa"/>
          </w:tcPr>
          <w:p w:rsidR="00AC4305" w:rsidRPr="008F7F55" w:rsidRDefault="00AC4305" w:rsidP="00905387">
            <w:pPr>
              <w:spacing w:after="0"/>
            </w:pPr>
            <w:r w:rsidRPr="00AC4305">
              <w:rPr>
                <w:color w:val="FF0000"/>
              </w:rPr>
              <w:t>4</w:t>
            </w:r>
          </w:p>
        </w:tc>
        <w:tc>
          <w:tcPr>
            <w:tcW w:w="4111" w:type="dxa"/>
          </w:tcPr>
          <w:p w:rsidR="00AC4305" w:rsidRDefault="00AC4305" w:rsidP="00905387">
            <w:pPr>
              <w:spacing w:after="0"/>
            </w:pPr>
            <w:r>
              <w:t>High modulation orders are not required</w:t>
            </w:r>
          </w:p>
        </w:tc>
      </w:tr>
      <w:tr w:rsidR="00AC4305" w:rsidRPr="00BA457C" w:rsidTr="00D20A82">
        <w:trPr>
          <w:trHeight w:val="255"/>
          <w:jc w:val="center"/>
        </w:trPr>
        <w:tc>
          <w:tcPr>
            <w:tcW w:w="3964" w:type="dxa"/>
          </w:tcPr>
          <w:p w:rsidR="00AC4305" w:rsidRPr="008F7F55" w:rsidRDefault="00AC4305" w:rsidP="00905387">
            <w:pPr>
              <w:spacing w:after="0"/>
              <w:rPr>
                <w:strike/>
              </w:rPr>
            </w:pPr>
            <w:r w:rsidRPr="00BA457C">
              <w:t>New data indicator</w:t>
            </w:r>
          </w:p>
        </w:tc>
        <w:tc>
          <w:tcPr>
            <w:tcW w:w="709" w:type="dxa"/>
          </w:tcPr>
          <w:p w:rsidR="00AC4305" w:rsidRPr="008F7F55" w:rsidRDefault="00AC4305" w:rsidP="00905387">
            <w:pPr>
              <w:spacing w:after="0"/>
              <w:rPr>
                <w:strike/>
              </w:rPr>
            </w:pPr>
            <w:r w:rsidRPr="00BA457C">
              <w:t>1</w:t>
            </w:r>
          </w:p>
        </w:tc>
        <w:tc>
          <w:tcPr>
            <w:tcW w:w="4111" w:type="dxa"/>
          </w:tcPr>
          <w:p w:rsidR="00AC4305" w:rsidRPr="00BA457C" w:rsidRDefault="00AC4305" w:rsidP="00905387">
            <w:pPr>
              <w:spacing w:after="0"/>
            </w:pPr>
          </w:p>
        </w:tc>
      </w:tr>
      <w:tr w:rsidR="00AC4305" w:rsidRPr="00BA457C" w:rsidTr="00D20A82">
        <w:trPr>
          <w:trHeight w:val="255"/>
          <w:jc w:val="center"/>
        </w:trPr>
        <w:tc>
          <w:tcPr>
            <w:tcW w:w="3964" w:type="dxa"/>
            <w:noWrap/>
          </w:tcPr>
          <w:p w:rsidR="00AC4305" w:rsidRPr="00BA457C" w:rsidRDefault="00AC4305" w:rsidP="00905387">
            <w:pPr>
              <w:spacing w:after="0"/>
            </w:pPr>
            <w:r w:rsidRPr="00BA457C">
              <w:t>Redundancy version</w:t>
            </w:r>
          </w:p>
        </w:tc>
        <w:tc>
          <w:tcPr>
            <w:tcW w:w="709" w:type="dxa"/>
            <w:noWrap/>
          </w:tcPr>
          <w:p w:rsidR="00AC4305" w:rsidRPr="00BA457C" w:rsidRDefault="00AC4305" w:rsidP="00905387">
            <w:pPr>
              <w:spacing w:after="0"/>
            </w:pPr>
            <w:r w:rsidRPr="00AC4305">
              <w:rPr>
                <w:color w:val="FF0000"/>
              </w:rPr>
              <w:t>1</w:t>
            </w:r>
          </w:p>
        </w:tc>
        <w:tc>
          <w:tcPr>
            <w:tcW w:w="4111" w:type="dxa"/>
          </w:tcPr>
          <w:p w:rsidR="00AC4305" w:rsidRDefault="00AC4305" w:rsidP="00AC4305">
            <w:pPr>
              <w:spacing w:after="0"/>
            </w:pPr>
            <w:r w:rsidRPr="00AC4305">
              <w:t xml:space="preserve">Limited </w:t>
            </w:r>
            <w:r>
              <w:t xml:space="preserve">#of possible </w:t>
            </w:r>
          </w:p>
        </w:tc>
      </w:tr>
      <w:tr w:rsidR="00AC4305" w:rsidRPr="00BA457C" w:rsidTr="00D20A82">
        <w:trPr>
          <w:trHeight w:val="255"/>
          <w:jc w:val="center"/>
        </w:trPr>
        <w:tc>
          <w:tcPr>
            <w:tcW w:w="3964" w:type="dxa"/>
            <w:noWrap/>
          </w:tcPr>
          <w:p w:rsidR="00AC4305" w:rsidRPr="00BA457C" w:rsidRDefault="00AC4305" w:rsidP="00905387">
            <w:pPr>
              <w:spacing w:after="0"/>
            </w:pPr>
            <w:r w:rsidRPr="00BA457C">
              <w:t xml:space="preserve">HARQ process number </w:t>
            </w:r>
          </w:p>
        </w:tc>
        <w:tc>
          <w:tcPr>
            <w:tcW w:w="709" w:type="dxa"/>
            <w:noWrap/>
          </w:tcPr>
          <w:p w:rsidR="00AC4305" w:rsidRPr="00BA457C" w:rsidRDefault="00AC4305" w:rsidP="00905387">
            <w:pPr>
              <w:spacing w:after="0"/>
            </w:pPr>
            <w:r w:rsidRPr="00AC4305">
              <w:rPr>
                <w:color w:val="FF0000"/>
              </w:rPr>
              <w:t>2</w:t>
            </w:r>
          </w:p>
        </w:tc>
        <w:tc>
          <w:tcPr>
            <w:tcW w:w="4111" w:type="dxa"/>
          </w:tcPr>
          <w:p w:rsidR="00AC4305" w:rsidRDefault="00D20A82" w:rsidP="00905387">
            <w:pPr>
              <w:spacing w:after="0"/>
            </w:pPr>
            <w:r>
              <w:t>Short HARQ round trip time in URLLC</w:t>
            </w:r>
          </w:p>
        </w:tc>
      </w:tr>
      <w:tr w:rsidR="00AC4305" w:rsidRPr="00BA457C" w:rsidTr="00D20A82">
        <w:trPr>
          <w:trHeight w:val="255"/>
          <w:jc w:val="center"/>
        </w:trPr>
        <w:tc>
          <w:tcPr>
            <w:tcW w:w="3964" w:type="dxa"/>
            <w:noWrap/>
          </w:tcPr>
          <w:p w:rsidR="00AC4305" w:rsidRPr="00927012" w:rsidRDefault="00AC4305" w:rsidP="00905387">
            <w:pPr>
              <w:spacing w:after="0"/>
            </w:pPr>
            <w:r w:rsidRPr="00052230">
              <w:t>Downlink assignment index</w:t>
            </w:r>
          </w:p>
        </w:tc>
        <w:tc>
          <w:tcPr>
            <w:tcW w:w="709" w:type="dxa"/>
            <w:noWrap/>
          </w:tcPr>
          <w:p w:rsidR="00AC4305" w:rsidRPr="00927012" w:rsidRDefault="00AC4305" w:rsidP="00905387">
            <w:pPr>
              <w:spacing w:after="0"/>
            </w:pPr>
            <w:r w:rsidRPr="00AC4305">
              <w:rPr>
                <w:color w:val="FF0000"/>
              </w:rPr>
              <w:t>0</w:t>
            </w:r>
          </w:p>
        </w:tc>
        <w:tc>
          <w:tcPr>
            <w:tcW w:w="4111" w:type="dxa"/>
          </w:tcPr>
          <w:p w:rsidR="00AC4305" w:rsidRDefault="00D20A82" w:rsidP="00905387">
            <w:pPr>
              <w:spacing w:after="0"/>
            </w:pPr>
            <w:r>
              <w:t>Not essential for URLLC</w:t>
            </w:r>
          </w:p>
        </w:tc>
      </w:tr>
      <w:tr w:rsidR="00AC4305" w:rsidRPr="00BA457C" w:rsidTr="00D20A82">
        <w:trPr>
          <w:trHeight w:val="255"/>
          <w:jc w:val="center"/>
        </w:trPr>
        <w:tc>
          <w:tcPr>
            <w:tcW w:w="3964" w:type="dxa"/>
            <w:noWrap/>
            <w:hideMark/>
          </w:tcPr>
          <w:p w:rsidR="00AC4305" w:rsidRPr="00927012" w:rsidRDefault="00AC4305" w:rsidP="00905387">
            <w:pPr>
              <w:spacing w:after="0"/>
            </w:pPr>
            <w:r w:rsidRPr="00927012">
              <w:t xml:space="preserve">TPC command for </w:t>
            </w:r>
            <w:r w:rsidRPr="00052230">
              <w:t>scheduled PUCCH</w:t>
            </w:r>
          </w:p>
        </w:tc>
        <w:tc>
          <w:tcPr>
            <w:tcW w:w="709" w:type="dxa"/>
            <w:noWrap/>
            <w:hideMark/>
          </w:tcPr>
          <w:p w:rsidR="00AC4305" w:rsidRPr="00927012" w:rsidRDefault="00AC4305" w:rsidP="00905387">
            <w:pPr>
              <w:spacing w:after="0"/>
            </w:pPr>
            <w:r>
              <w:t>2</w:t>
            </w:r>
          </w:p>
        </w:tc>
        <w:tc>
          <w:tcPr>
            <w:tcW w:w="4111" w:type="dxa"/>
          </w:tcPr>
          <w:p w:rsidR="00AC4305" w:rsidRDefault="00AC4305" w:rsidP="00905387">
            <w:pPr>
              <w:spacing w:after="0"/>
            </w:pPr>
          </w:p>
        </w:tc>
      </w:tr>
      <w:tr w:rsidR="00AC4305" w:rsidRPr="00BA457C" w:rsidTr="00D20A82">
        <w:trPr>
          <w:trHeight w:val="255"/>
          <w:jc w:val="center"/>
        </w:trPr>
        <w:tc>
          <w:tcPr>
            <w:tcW w:w="3964" w:type="dxa"/>
            <w:noWrap/>
          </w:tcPr>
          <w:p w:rsidR="00AC4305" w:rsidRPr="00927012" w:rsidRDefault="00AC4305" w:rsidP="00905387">
            <w:pPr>
              <w:spacing w:after="0"/>
            </w:pPr>
            <w:r w:rsidRPr="00052230">
              <w:t>PUCCH resource indicator</w:t>
            </w:r>
          </w:p>
        </w:tc>
        <w:tc>
          <w:tcPr>
            <w:tcW w:w="709" w:type="dxa"/>
            <w:noWrap/>
          </w:tcPr>
          <w:p w:rsidR="00AC4305" w:rsidRPr="00927012" w:rsidRDefault="00AC4305" w:rsidP="00905387">
            <w:pPr>
              <w:spacing w:after="0"/>
            </w:pPr>
            <w:r>
              <w:t>2</w:t>
            </w:r>
          </w:p>
        </w:tc>
        <w:tc>
          <w:tcPr>
            <w:tcW w:w="4111" w:type="dxa"/>
          </w:tcPr>
          <w:p w:rsidR="00AC4305" w:rsidRDefault="00AC4305" w:rsidP="00905387">
            <w:pPr>
              <w:spacing w:after="0"/>
            </w:pPr>
          </w:p>
        </w:tc>
      </w:tr>
      <w:tr w:rsidR="00AC4305" w:rsidRPr="00BA457C" w:rsidTr="00D20A82">
        <w:trPr>
          <w:trHeight w:val="255"/>
          <w:jc w:val="center"/>
        </w:trPr>
        <w:tc>
          <w:tcPr>
            <w:tcW w:w="3964" w:type="dxa"/>
            <w:noWrap/>
          </w:tcPr>
          <w:p w:rsidR="00AC4305" w:rsidRPr="00927012" w:rsidRDefault="00AC4305" w:rsidP="00905387">
            <w:pPr>
              <w:spacing w:after="0"/>
            </w:pPr>
            <w:r w:rsidRPr="00927012">
              <w:rPr>
                <w:rFonts w:hint="eastAsia"/>
              </w:rPr>
              <w:t>PDSCH-to-HARQ feedback timing indicator</w:t>
            </w:r>
          </w:p>
        </w:tc>
        <w:tc>
          <w:tcPr>
            <w:tcW w:w="709" w:type="dxa"/>
            <w:noWrap/>
          </w:tcPr>
          <w:p w:rsidR="00AC4305" w:rsidRPr="00927012" w:rsidRDefault="00AC4305" w:rsidP="00905387">
            <w:pPr>
              <w:spacing w:after="0"/>
            </w:pPr>
            <w:r w:rsidRPr="00AC4305">
              <w:rPr>
                <w:color w:val="FF0000"/>
              </w:rPr>
              <w:t>0</w:t>
            </w:r>
          </w:p>
        </w:tc>
        <w:tc>
          <w:tcPr>
            <w:tcW w:w="4111" w:type="dxa"/>
          </w:tcPr>
          <w:p w:rsidR="00AC4305" w:rsidRDefault="00D20A82" w:rsidP="00905387">
            <w:pPr>
              <w:spacing w:after="0"/>
            </w:pPr>
            <w:r>
              <w:t>Fixed configuration</w:t>
            </w:r>
          </w:p>
        </w:tc>
      </w:tr>
      <w:tr w:rsidR="00AC4305" w:rsidRPr="00BA457C" w:rsidTr="00D20A82">
        <w:trPr>
          <w:trHeight w:val="255"/>
          <w:jc w:val="center"/>
        </w:trPr>
        <w:tc>
          <w:tcPr>
            <w:tcW w:w="3964" w:type="dxa"/>
            <w:noWrap/>
            <w:hideMark/>
          </w:tcPr>
          <w:p w:rsidR="00AC4305" w:rsidRPr="003401F0" w:rsidRDefault="00AC4305" w:rsidP="00905387">
            <w:pPr>
              <w:spacing w:after="0"/>
              <w:rPr>
                <w:b/>
                <w:bCs/>
              </w:rPr>
            </w:pPr>
            <w:r w:rsidRPr="003401F0">
              <w:rPr>
                <w:b/>
                <w:bCs/>
              </w:rPr>
              <w:t>Payload size</w:t>
            </w:r>
          </w:p>
        </w:tc>
        <w:tc>
          <w:tcPr>
            <w:tcW w:w="709" w:type="dxa"/>
            <w:noWrap/>
            <w:hideMark/>
          </w:tcPr>
          <w:p w:rsidR="00AC4305" w:rsidRPr="003401F0" w:rsidRDefault="00AC4305" w:rsidP="00937AF5">
            <w:pPr>
              <w:spacing w:after="0"/>
              <w:rPr>
                <w:b/>
              </w:rPr>
            </w:pPr>
            <w:r w:rsidRPr="003401F0">
              <w:rPr>
                <w:b/>
              </w:rPr>
              <w:t>2</w:t>
            </w:r>
            <w:r w:rsidR="00937AF5">
              <w:rPr>
                <w:b/>
              </w:rPr>
              <w:t>1</w:t>
            </w:r>
            <w:r w:rsidRPr="003401F0">
              <w:rPr>
                <w:b/>
              </w:rPr>
              <w:t>-</w:t>
            </w:r>
            <w:r w:rsidR="00937AF5">
              <w:rPr>
                <w:b/>
              </w:rPr>
              <w:t>25</w:t>
            </w:r>
          </w:p>
        </w:tc>
        <w:tc>
          <w:tcPr>
            <w:tcW w:w="4111" w:type="dxa"/>
          </w:tcPr>
          <w:p w:rsidR="00AC4305" w:rsidRDefault="00AC4305" w:rsidP="00905387">
            <w:pPr>
              <w:spacing w:after="0"/>
            </w:pPr>
          </w:p>
        </w:tc>
      </w:tr>
      <w:tr w:rsidR="00AC4305" w:rsidRPr="00BA457C" w:rsidTr="00D20A82">
        <w:trPr>
          <w:trHeight w:val="255"/>
          <w:jc w:val="center"/>
        </w:trPr>
        <w:tc>
          <w:tcPr>
            <w:tcW w:w="3964" w:type="dxa"/>
            <w:noWrap/>
            <w:hideMark/>
          </w:tcPr>
          <w:p w:rsidR="00AC4305" w:rsidRPr="003401F0" w:rsidRDefault="00AC4305" w:rsidP="00905387">
            <w:pPr>
              <w:spacing w:after="0"/>
              <w:rPr>
                <w:b/>
              </w:rPr>
            </w:pPr>
            <w:r w:rsidRPr="003401F0">
              <w:rPr>
                <w:b/>
              </w:rPr>
              <w:t>CRC</w:t>
            </w:r>
          </w:p>
        </w:tc>
        <w:tc>
          <w:tcPr>
            <w:tcW w:w="709" w:type="dxa"/>
            <w:noWrap/>
            <w:hideMark/>
          </w:tcPr>
          <w:p w:rsidR="00AC4305" w:rsidRPr="003401F0" w:rsidRDefault="00AC4305" w:rsidP="00905387">
            <w:pPr>
              <w:spacing w:after="0"/>
              <w:rPr>
                <w:b/>
              </w:rPr>
            </w:pPr>
            <w:r w:rsidRPr="003401F0">
              <w:rPr>
                <w:b/>
              </w:rPr>
              <w:t>24</w:t>
            </w:r>
          </w:p>
        </w:tc>
        <w:tc>
          <w:tcPr>
            <w:tcW w:w="4111" w:type="dxa"/>
          </w:tcPr>
          <w:p w:rsidR="00AC4305" w:rsidRPr="00927012" w:rsidRDefault="00AC4305" w:rsidP="00905387">
            <w:pPr>
              <w:spacing w:after="0"/>
            </w:pPr>
          </w:p>
        </w:tc>
      </w:tr>
      <w:tr w:rsidR="00AC4305" w:rsidRPr="00BA457C" w:rsidTr="00D20A82">
        <w:trPr>
          <w:trHeight w:val="255"/>
          <w:jc w:val="center"/>
        </w:trPr>
        <w:tc>
          <w:tcPr>
            <w:tcW w:w="3964" w:type="dxa"/>
            <w:noWrap/>
            <w:hideMark/>
          </w:tcPr>
          <w:p w:rsidR="00AC4305" w:rsidRPr="003401F0" w:rsidRDefault="00AC4305" w:rsidP="00905387">
            <w:pPr>
              <w:spacing w:after="0"/>
              <w:rPr>
                <w:b/>
                <w:bCs/>
              </w:rPr>
            </w:pPr>
            <w:r w:rsidRPr="003401F0">
              <w:rPr>
                <w:b/>
                <w:bCs/>
              </w:rPr>
              <w:t>Payload size including CRC</w:t>
            </w:r>
          </w:p>
        </w:tc>
        <w:tc>
          <w:tcPr>
            <w:tcW w:w="709" w:type="dxa"/>
            <w:noWrap/>
            <w:hideMark/>
          </w:tcPr>
          <w:p w:rsidR="00AC4305" w:rsidRPr="003401F0" w:rsidRDefault="00AC4305" w:rsidP="00937AF5">
            <w:pPr>
              <w:spacing w:after="0"/>
              <w:rPr>
                <w:b/>
              </w:rPr>
            </w:pPr>
            <w:r w:rsidRPr="003401F0">
              <w:rPr>
                <w:b/>
              </w:rPr>
              <w:t>4</w:t>
            </w:r>
            <w:r w:rsidR="00937AF5">
              <w:rPr>
                <w:b/>
              </w:rPr>
              <w:t>5</w:t>
            </w:r>
            <w:r w:rsidRPr="003401F0">
              <w:rPr>
                <w:b/>
              </w:rPr>
              <w:t>-</w:t>
            </w:r>
            <w:r w:rsidR="00937AF5">
              <w:rPr>
                <w:b/>
              </w:rPr>
              <w:t>49</w:t>
            </w:r>
          </w:p>
        </w:tc>
        <w:tc>
          <w:tcPr>
            <w:tcW w:w="4111" w:type="dxa"/>
          </w:tcPr>
          <w:p w:rsidR="00AC4305" w:rsidRDefault="00AC4305" w:rsidP="00905387">
            <w:pPr>
              <w:spacing w:after="0"/>
            </w:pPr>
          </w:p>
        </w:tc>
      </w:tr>
    </w:tbl>
    <w:p w:rsidR="00FC4E67" w:rsidRDefault="00FC4E67" w:rsidP="00902810">
      <w:pPr>
        <w:jc w:val="both"/>
      </w:pPr>
    </w:p>
    <w:p w:rsidR="0040163D" w:rsidRPr="003D352F" w:rsidRDefault="0040163D" w:rsidP="0040163D">
      <w:pPr>
        <w:jc w:val="both"/>
        <w:rPr>
          <w:b/>
          <w:i/>
          <w:lang w:eastAsia="ko-KR"/>
        </w:rPr>
      </w:pPr>
      <w:r w:rsidRPr="003D352F">
        <w:rPr>
          <w:b/>
          <w:i/>
          <w:lang w:eastAsia="ko-KR"/>
        </w:rPr>
        <w:t xml:space="preserve">Observation 1: </w:t>
      </w:r>
      <w:r>
        <w:rPr>
          <w:b/>
          <w:i/>
          <w:lang w:eastAsia="ko-KR"/>
        </w:rPr>
        <w:t xml:space="preserve">A compact DCI </w:t>
      </w:r>
      <w:r w:rsidR="00AD7AAE">
        <w:rPr>
          <w:b/>
          <w:i/>
          <w:lang w:eastAsia="ko-KR"/>
        </w:rPr>
        <w:t xml:space="preserve">payload </w:t>
      </w:r>
      <w:r>
        <w:rPr>
          <w:b/>
          <w:i/>
          <w:lang w:eastAsia="ko-KR"/>
        </w:rPr>
        <w:t xml:space="preserve">size, including the CRC, can be smaller than the fallback DCI </w:t>
      </w:r>
      <w:r w:rsidR="00AD7AAE">
        <w:rPr>
          <w:b/>
          <w:i/>
          <w:lang w:eastAsia="ko-KR"/>
        </w:rPr>
        <w:t xml:space="preserve">payload </w:t>
      </w:r>
      <w:r>
        <w:rPr>
          <w:b/>
          <w:i/>
          <w:lang w:eastAsia="ko-KR"/>
        </w:rPr>
        <w:t>size by 19%-</w:t>
      </w:r>
      <w:r w:rsidRPr="0040163D">
        <w:rPr>
          <w:b/>
          <w:i/>
          <w:lang w:eastAsia="ko-KR"/>
        </w:rPr>
        <w:t>25%.</w:t>
      </w:r>
    </w:p>
    <w:p w:rsidR="00A07783" w:rsidRDefault="00A07783" w:rsidP="00A07783">
      <w:pPr>
        <w:jc w:val="both"/>
      </w:pPr>
      <w:r>
        <w:fldChar w:fldCharType="begin"/>
      </w:r>
      <w:r>
        <w:instrText xml:space="preserve"> REF _Ref506569585 \h </w:instrText>
      </w:r>
      <w:r>
        <w:fldChar w:fldCharType="separate"/>
      </w:r>
      <w:r w:rsidR="006F740F" w:rsidRPr="00922E39">
        <w:t xml:space="preserve">Table </w:t>
      </w:r>
      <w:r w:rsidR="006F740F">
        <w:rPr>
          <w:noProof/>
        </w:rPr>
        <w:t>3</w:t>
      </w:r>
      <w:r>
        <w:fldChar w:fldCharType="end"/>
      </w:r>
      <w:r>
        <w:t xml:space="preserve"> shows the e</w:t>
      </w:r>
      <w:r w:rsidRPr="00A07783">
        <w:t xml:space="preserve">ffective code rates </w:t>
      </w:r>
      <w:r>
        <w:t xml:space="preserve">comparison between the compact DCI and fallback DCI </w:t>
      </w:r>
      <w:r w:rsidRPr="00A07783">
        <w:t xml:space="preserve">for different </w:t>
      </w:r>
      <w:r>
        <w:t>payload sizes and aggregation levels (AL), when assuming 144 bit per CCE and</w:t>
      </w:r>
      <w:r w:rsidRPr="00A07783">
        <w:t xml:space="preserve"> 25% DMRS overhead</w:t>
      </w:r>
      <w:r>
        <w:t>.</w:t>
      </w:r>
      <w:r w:rsidR="0040163D">
        <w:t xml:space="preserve"> The performance gain from the achieved lower coding gain need to evaluated using numerical simulations. Introducing another DCI format (i.e. the </w:t>
      </w:r>
      <w:r w:rsidR="0040163D">
        <w:lastRenderedPageBreak/>
        <w:t>compact DCI) need to be justified due to the increased complexity of blind detection. The increased complexity of blind detection should be taken into considerations when evaluating the advantages and disadvantages of introducing the new compact DCI.</w:t>
      </w:r>
    </w:p>
    <w:p w:rsidR="00A07783" w:rsidRPr="00A07783" w:rsidRDefault="00A07783" w:rsidP="00A07783">
      <w:pPr>
        <w:spacing w:after="0"/>
        <w:jc w:val="center"/>
      </w:pPr>
      <w:bookmarkStart w:id="5" w:name="_Ref506569585"/>
      <w:r w:rsidRPr="00922E39">
        <w:t xml:space="preserve">Table </w:t>
      </w:r>
      <w:r w:rsidRPr="00922E39">
        <w:fldChar w:fldCharType="begin"/>
      </w:r>
      <w:r w:rsidRPr="00922E39">
        <w:instrText xml:space="preserve"> SEQ Table \* ARABIC </w:instrText>
      </w:r>
      <w:r w:rsidRPr="00922E39">
        <w:fldChar w:fldCharType="separate"/>
      </w:r>
      <w:r w:rsidR="006F740F">
        <w:rPr>
          <w:noProof/>
        </w:rPr>
        <w:t>3</w:t>
      </w:r>
      <w:r w:rsidRPr="00922E39">
        <w:fldChar w:fldCharType="end"/>
      </w:r>
      <w:bookmarkEnd w:id="5"/>
      <w:r w:rsidRPr="00922E39">
        <w:t xml:space="preserve">: </w:t>
      </w:r>
      <w:r>
        <w:t>E</w:t>
      </w:r>
      <w:r w:rsidRPr="00A07783">
        <w:t xml:space="preserve">ffective code rates </w:t>
      </w:r>
      <w:r>
        <w:t>comparison between the compact DCI and fallback DCI.</w:t>
      </w:r>
    </w:p>
    <w:tbl>
      <w:tblPr>
        <w:tblStyle w:val="TableGrid"/>
        <w:tblW w:w="7176" w:type="dxa"/>
        <w:jc w:val="center"/>
        <w:tblLook w:val="04A0" w:firstRow="1" w:lastRow="0" w:firstColumn="1" w:lastColumn="0" w:noHBand="0" w:noVBand="1"/>
      </w:tblPr>
      <w:tblGrid>
        <w:gridCol w:w="1899"/>
        <w:gridCol w:w="1042"/>
        <w:gridCol w:w="1042"/>
        <w:gridCol w:w="1042"/>
        <w:gridCol w:w="1042"/>
        <w:gridCol w:w="1109"/>
      </w:tblGrid>
      <w:tr w:rsidR="00A07783" w:rsidRPr="00A07783" w:rsidTr="00A07783">
        <w:trPr>
          <w:trHeight w:val="20"/>
          <w:jc w:val="center"/>
        </w:trPr>
        <w:tc>
          <w:tcPr>
            <w:tcW w:w="1899" w:type="dxa"/>
            <w:hideMark/>
          </w:tcPr>
          <w:p w:rsidR="00A07783" w:rsidRPr="00A07783" w:rsidRDefault="00A07783" w:rsidP="00A07783">
            <w:pPr>
              <w:spacing w:after="0" w:line="257" w:lineRule="auto"/>
              <w:rPr>
                <w:rFonts w:eastAsia="Times New Roman"/>
                <w:lang w:eastAsia="en-GB"/>
              </w:rPr>
            </w:pPr>
            <w:r w:rsidRPr="00A07783">
              <w:rPr>
                <w:rFonts w:eastAsia="Times New Roman"/>
                <w:b/>
                <w:bCs/>
                <w:color w:val="000000" w:themeColor="text1"/>
                <w:kern w:val="24"/>
                <w:lang w:eastAsia="en-GB"/>
              </w:rPr>
              <w:t>Payload size (bits)</w:t>
            </w:r>
          </w:p>
        </w:tc>
        <w:tc>
          <w:tcPr>
            <w:tcW w:w="1042" w:type="dxa"/>
            <w:hideMark/>
          </w:tcPr>
          <w:p w:rsidR="00A07783" w:rsidRPr="00A07783" w:rsidRDefault="00A07783" w:rsidP="00A07783">
            <w:pPr>
              <w:spacing w:after="0" w:line="257" w:lineRule="auto"/>
              <w:jc w:val="center"/>
              <w:rPr>
                <w:rFonts w:eastAsia="Times New Roman"/>
                <w:lang w:eastAsia="en-GB"/>
              </w:rPr>
            </w:pPr>
            <w:r w:rsidRPr="00A07783">
              <w:rPr>
                <w:rFonts w:eastAsia="Times New Roman"/>
                <w:b/>
                <w:bCs/>
                <w:color w:val="000000" w:themeColor="text1"/>
                <w:kern w:val="24"/>
                <w:lang w:eastAsia="en-GB"/>
              </w:rPr>
              <w:t>AL1</w:t>
            </w:r>
          </w:p>
        </w:tc>
        <w:tc>
          <w:tcPr>
            <w:tcW w:w="1042" w:type="dxa"/>
            <w:hideMark/>
          </w:tcPr>
          <w:p w:rsidR="00A07783" w:rsidRPr="00A07783" w:rsidRDefault="00A07783" w:rsidP="00A07783">
            <w:pPr>
              <w:spacing w:after="0" w:line="257" w:lineRule="auto"/>
              <w:jc w:val="center"/>
              <w:rPr>
                <w:rFonts w:eastAsia="Times New Roman"/>
                <w:lang w:eastAsia="en-GB"/>
              </w:rPr>
            </w:pPr>
            <w:r w:rsidRPr="00A07783">
              <w:rPr>
                <w:rFonts w:eastAsia="Times New Roman"/>
                <w:b/>
                <w:bCs/>
                <w:color w:val="000000" w:themeColor="text1"/>
                <w:kern w:val="24"/>
                <w:lang w:eastAsia="en-GB"/>
              </w:rPr>
              <w:t>AL2</w:t>
            </w:r>
          </w:p>
        </w:tc>
        <w:tc>
          <w:tcPr>
            <w:tcW w:w="1042" w:type="dxa"/>
            <w:hideMark/>
          </w:tcPr>
          <w:p w:rsidR="00A07783" w:rsidRPr="00A07783" w:rsidRDefault="00A07783" w:rsidP="00A07783">
            <w:pPr>
              <w:spacing w:after="0" w:line="257" w:lineRule="auto"/>
              <w:jc w:val="center"/>
              <w:rPr>
                <w:rFonts w:eastAsia="Times New Roman"/>
                <w:lang w:eastAsia="en-GB"/>
              </w:rPr>
            </w:pPr>
            <w:r w:rsidRPr="00A07783">
              <w:rPr>
                <w:rFonts w:eastAsia="Times New Roman"/>
                <w:b/>
                <w:bCs/>
                <w:color w:val="000000" w:themeColor="text1"/>
                <w:kern w:val="24"/>
                <w:lang w:eastAsia="en-GB"/>
              </w:rPr>
              <w:t>AL4</w:t>
            </w:r>
          </w:p>
        </w:tc>
        <w:tc>
          <w:tcPr>
            <w:tcW w:w="1042" w:type="dxa"/>
            <w:hideMark/>
          </w:tcPr>
          <w:p w:rsidR="00A07783" w:rsidRPr="00A07783" w:rsidRDefault="00A07783" w:rsidP="00A07783">
            <w:pPr>
              <w:spacing w:after="0" w:line="257" w:lineRule="auto"/>
              <w:jc w:val="center"/>
              <w:rPr>
                <w:rFonts w:eastAsia="Times New Roman"/>
                <w:lang w:eastAsia="en-GB"/>
              </w:rPr>
            </w:pPr>
            <w:r w:rsidRPr="00A07783">
              <w:rPr>
                <w:rFonts w:eastAsia="Times New Roman"/>
                <w:b/>
                <w:bCs/>
                <w:color w:val="000000" w:themeColor="text1"/>
                <w:kern w:val="24"/>
                <w:lang w:eastAsia="en-GB"/>
              </w:rPr>
              <w:t>AL8</w:t>
            </w:r>
          </w:p>
        </w:tc>
        <w:tc>
          <w:tcPr>
            <w:tcW w:w="1109" w:type="dxa"/>
            <w:hideMark/>
          </w:tcPr>
          <w:p w:rsidR="00A07783" w:rsidRPr="00A07783" w:rsidRDefault="00A07783" w:rsidP="00A07783">
            <w:pPr>
              <w:spacing w:after="0" w:line="257" w:lineRule="auto"/>
              <w:jc w:val="center"/>
              <w:rPr>
                <w:rFonts w:eastAsia="Times New Roman"/>
                <w:lang w:eastAsia="en-GB"/>
              </w:rPr>
            </w:pPr>
            <w:r w:rsidRPr="00A07783">
              <w:rPr>
                <w:rFonts w:eastAsia="Times New Roman"/>
                <w:b/>
                <w:bCs/>
                <w:color w:val="000000" w:themeColor="text1"/>
                <w:kern w:val="24"/>
                <w:lang w:eastAsia="en-GB"/>
              </w:rPr>
              <w:t>AL16</w:t>
            </w:r>
          </w:p>
        </w:tc>
      </w:tr>
      <w:tr w:rsidR="00A07783" w:rsidRPr="00A07783" w:rsidTr="00C07C1C">
        <w:trPr>
          <w:trHeight w:val="57"/>
          <w:jc w:val="center"/>
        </w:trPr>
        <w:tc>
          <w:tcPr>
            <w:tcW w:w="1899" w:type="dxa"/>
            <w:hideMark/>
          </w:tcPr>
          <w:p w:rsidR="00A07783" w:rsidRPr="00A07783" w:rsidRDefault="00A07783" w:rsidP="00A07783">
            <w:pPr>
              <w:spacing w:after="0" w:line="257" w:lineRule="auto"/>
              <w:rPr>
                <w:rFonts w:eastAsia="Times New Roman"/>
                <w:lang w:eastAsia="en-GB"/>
              </w:rPr>
            </w:pPr>
            <w:r w:rsidRPr="00A07783">
              <w:rPr>
                <w:rFonts w:eastAsia="Times New Roman"/>
                <w:b/>
                <w:bCs/>
                <w:color w:val="000000" w:themeColor="text1"/>
                <w:kern w:val="24"/>
                <w:lang w:eastAsia="en-GB"/>
              </w:rPr>
              <w:t>2</w:t>
            </w:r>
            <w:r>
              <w:rPr>
                <w:rFonts w:eastAsia="Times New Roman"/>
                <w:b/>
                <w:bCs/>
                <w:color w:val="000000" w:themeColor="text1"/>
                <w:kern w:val="24"/>
                <w:lang w:eastAsia="en-GB"/>
              </w:rPr>
              <w:t>1</w:t>
            </w:r>
            <w:r w:rsidRPr="00A07783">
              <w:rPr>
                <w:rFonts w:eastAsia="Times New Roman"/>
                <w:b/>
                <w:bCs/>
                <w:color w:val="000000" w:themeColor="text1"/>
                <w:kern w:val="24"/>
                <w:lang w:eastAsia="en-GB"/>
              </w:rPr>
              <w:t xml:space="preserve"> (Comp</w:t>
            </w:r>
            <w:r>
              <w:rPr>
                <w:rFonts w:eastAsia="Times New Roman"/>
                <w:b/>
                <w:bCs/>
                <w:color w:val="000000" w:themeColor="text1"/>
                <w:kern w:val="24"/>
                <w:lang w:eastAsia="en-GB"/>
              </w:rPr>
              <w:t>act</w:t>
            </w:r>
            <w:r w:rsidRPr="00A07783">
              <w:rPr>
                <w:rFonts w:eastAsia="Times New Roman"/>
                <w:b/>
                <w:bCs/>
                <w:color w:val="000000" w:themeColor="text1"/>
                <w:kern w:val="24"/>
                <w:lang w:eastAsia="en-GB"/>
              </w:rPr>
              <w:t xml:space="preserve"> DCI)</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sidRPr="00A07783">
              <w:rPr>
                <w:rFonts w:eastAsiaTheme="minorEastAsia"/>
                <w:color w:val="000000" w:themeColor="text1"/>
                <w:kern w:val="24"/>
                <w:lang w:eastAsia="en-GB"/>
              </w:rPr>
              <w:t>0.416</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sidRPr="00A07783">
              <w:rPr>
                <w:rFonts w:eastAsiaTheme="minorEastAsia"/>
                <w:color w:val="000000" w:themeColor="text1"/>
                <w:kern w:val="24"/>
                <w:lang w:eastAsia="en-GB"/>
              </w:rPr>
              <w:t>0.208</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sidRPr="00A07783">
              <w:rPr>
                <w:rFonts w:eastAsiaTheme="minorEastAsia"/>
                <w:color w:val="000000" w:themeColor="text1"/>
                <w:kern w:val="24"/>
                <w:lang w:eastAsia="en-GB"/>
              </w:rPr>
              <w:t>0.104</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sidRPr="00A07783">
              <w:rPr>
                <w:rFonts w:eastAsiaTheme="minorEastAsia"/>
                <w:color w:val="000000" w:themeColor="text1"/>
                <w:kern w:val="24"/>
                <w:lang w:eastAsia="en-GB"/>
              </w:rPr>
              <w:t>0.052</w:t>
            </w:r>
          </w:p>
        </w:tc>
        <w:tc>
          <w:tcPr>
            <w:tcW w:w="1109"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sidRPr="00A07783">
              <w:rPr>
                <w:rFonts w:eastAsiaTheme="minorEastAsia"/>
                <w:color w:val="000000" w:themeColor="text1"/>
                <w:kern w:val="24"/>
                <w:lang w:eastAsia="en-GB"/>
              </w:rPr>
              <w:t>0.026</w:t>
            </w:r>
          </w:p>
        </w:tc>
      </w:tr>
      <w:tr w:rsidR="00A07783" w:rsidRPr="00A07783" w:rsidTr="00C07C1C">
        <w:trPr>
          <w:trHeight w:val="57"/>
          <w:jc w:val="center"/>
        </w:trPr>
        <w:tc>
          <w:tcPr>
            <w:tcW w:w="1899" w:type="dxa"/>
            <w:hideMark/>
          </w:tcPr>
          <w:p w:rsidR="00A07783" w:rsidRPr="00A07783" w:rsidRDefault="00A07783" w:rsidP="00A07783">
            <w:pPr>
              <w:spacing w:after="0" w:line="257" w:lineRule="auto"/>
              <w:rPr>
                <w:rFonts w:eastAsia="Times New Roman"/>
                <w:lang w:eastAsia="en-GB"/>
              </w:rPr>
            </w:pPr>
            <w:r>
              <w:rPr>
                <w:rFonts w:eastAsia="Times New Roman"/>
                <w:b/>
                <w:bCs/>
                <w:color w:val="000000" w:themeColor="text1"/>
                <w:kern w:val="24"/>
                <w:lang w:eastAsia="en-GB"/>
              </w:rPr>
              <w:t>32 (fall</w:t>
            </w:r>
            <w:r w:rsidRPr="00A07783">
              <w:rPr>
                <w:rFonts w:eastAsia="Times New Roman"/>
                <w:b/>
                <w:bCs/>
                <w:color w:val="000000" w:themeColor="text1"/>
                <w:kern w:val="24"/>
                <w:lang w:eastAsia="en-GB"/>
              </w:rPr>
              <w:t>back DCI)</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sidRPr="00A07783">
              <w:rPr>
                <w:rFonts w:eastAsiaTheme="minorEastAsia"/>
                <w:color w:val="000000" w:themeColor="text1"/>
                <w:kern w:val="24"/>
                <w:lang w:eastAsia="en-GB"/>
              </w:rPr>
              <w:t>0.518</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sidRPr="00A07783">
              <w:rPr>
                <w:rFonts w:eastAsiaTheme="minorEastAsia"/>
                <w:color w:val="000000" w:themeColor="text1"/>
                <w:kern w:val="24"/>
                <w:lang w:eastAsia="en-GB"/>
              </w:rPr>
              <w:t>0.259</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sidRPr="00A07783">
              <w:rPr>
                <w:rFonts w:eastAsiaTheme="minorEastAsia"/>
                <w:color w:val="000000" w:themeColor="text1"/>
                <w:kern w:val="24"/>
                <w:lang w:eastAsia="en-GB"/>
              </w:rPr>
              <w:t>0.129</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sidRPr="00A07783">
              <w:rPr>
                <w:rFonts w:eastAsiaTheme="minorEastAsia"/>
                <w:color w:val="000000" w:themeColor="text1"/>
                <w:kern w:val="24"/>
                <w:lang w:eastAsia="en-GB"/>
              </w:rPr>
              <w:t>0.064</w:t>
            </w:r>
          </w:p>
        </w:tc>
        <w:tc>
          <w:tcPr>
            <w:tcW w:w="1109"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sidRPr="00A07783">
              <w:rPr>
                <w:rFonts w:eastAsiaTheme="minorEastAsia"/>
                <w:color w:val="000000" w:themeColor="text1"/>
                <w:kern w:val="24"/>
                <w:lang w:eastAsia="en-GB"/>
              </w:rPr>
              <w:t>0.032</w:t>
            </w:r>
          </w:p>
        </w:tc>
      </w:tr>
      <w:tr w:rsidR="00A07783" w:rsidRPr="00A07783" w:rsidTr="0084200B">
        <w:trPr>
          <w:trHeight w:val="57"/>
          <w:jc w:val="center"/>
        </w:trPr>
        <w:tc>
          <w:tcPr>
            <w:tcW w:w="1899" w:type="dxa"/>
            <w:hideMark/>
          </w:tcPr>
          <w:p w:rsidR="00A07783" w:rsidRPr="00A07783" w:rsidRDefault="00A07783" w:rsidP="00A07783">
            <w:pPr>
              <w:spacing w:after="0" w:line="256" w:lineRule="auto"/>
              <w:rPr>
                <w:rFonts w:eastAsia="Times New Roman"/>
                <w:lang w:eastAsia="en-GB"/>
              </w:rPr>
            </w:pPr>
            <w:r w:rsidRPr="00A07783">
              <w:rPr>
                <w:rFonts w:eastAsia="Times New Roman"/>
                <w:b/>
                <w:bCs/>
                <w:color w:val="000000" w:themeColor="text1"/>
                <w:kern w:val="24"/>
                <w:lang w:eastAsia="en-GB"/>
              </w:rPr>
              <w:t>2</w:t>
            </w:r>
            <w:r>
              <w:rPr>
                <w:rFonts w:eastAsia="Times New Roman"/>
                <w:b/>
                <w:bCs/>
                <w:color w:val="000000" w:themeColor="text1"/>
                <w:kern w:val="24"/>
                <w:lang w:eastAsia="en-GB"/>
              </w:rPr>
              <w:t>5</w:t>
            </w:r>
            <w:r w:rsidRPr="00A07783">
              <w:rPr>
                <w:rFonts w:eastAsia="Times New Roman"/>
                <w:b/>
                <w:bCs/>
                <w:color w:val="000000" w:themeColor="text1"/>
                <w:kern w:val="24"/>
                <w:lang w:eastAsia="en-GB"/>
              </w:rPr>
              <w:t xml:space="preserve"> (Comp</w:t>
            </w:r>
            <w:r>
              <w:rPr>
                <w:rFonts w:eastAsia="Times New Roman"/>
                <w:b/>
                <w:bCs/>
                <w:color w:val="000000" w:themeColor="text1"/>
                <w:kern w:val="24"/>
                <w:lang w:eastAsia="en-GB"/>
              </w:rPr>
              <w:t>act</w:t>
            </w:r>
            <w:r w:rsidRPr="00A07783">
              <w:rPr>
                <w:rFonts w:eastAsia="Times New Roman"/>
                <w:b/>
                <w:bCs/>
                <w:color w:val="000000" w:themeColor="text1"/>
                <w:kern w:val="24"/>
                <w:lang w:eastAsia="en-GB"/>
              </w:rPr>
              <w:t xml:space="preserve"> DCI)</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Pr>
                <w:rFonts w:eastAsiaTheme="minorEastAsia"/>
                <w:color w:val="000000" w:themeColor="text1"/>
                <w:kern w:val="24"/>
                <w:lang w:eastAsia="en-GB"/>
              </w:rPr>
              <w:t>0.453</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Pr>
                <w:rFonts w:eastAsiaTheme="minorEastAsia"/>
                <w:color w:val="000000" w:themeColor="text1"/>
                <w:kern w:val="24"/>
                <w:lang w:eastAsia="en-GB"/>
              </w:rPr>
              <w:t>0.226</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Pr>
                <w:rFonts w:eastAsiaTheme="minorEastAsia"/>
                <w:color w:val="000000" w:themeColor="text1"/>
                <w:kern w:val="24"/>
                <w:lang w:eastAsia="en-GB"/>
              </w:rPr>
              <w:t>0.113</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Pr>
                <w:rFonts w:eastAsiaTheme="minorEastAsia"/>
                <w:color w:val="000000" w:themeColor="text1"/>
                <w:kern w:val="24"/>
                <w:lang w:eastAsia="en-GB"/>
              </w:rPr>
              <w:t>0.056</w:t>
            </w:r>
          </w:p>
        </w:tc>
        <w:tc>
          <w:tcPr>
            <w:tcW w:w="1109"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Pr>
                <w:rFonts w:eastAsiaTheme="minorEastAsia"/>
                <w:color w:val="000000" w:themeColor="text1"/>
                <w:kern w:val="24"/>
                <w:lang w:eastAsia="en-GB"/>
              </w:rPr>
              <w:t>0.028</w:t>
            </w:r>
          </w:p>
        </w:tc>
      </w:tr>
      <w:tr w:rsidR="00A07783" w:rsidRPr="00A07783" w:rsidTr="0084200B">
        <w:trPr>
          <w:trHeight w:val="57"/>
          <w:jc w:val="center"/>
        </w:trPr>
        <w:tc>
          <w:tcPr>
            <w:tcW w:w="1899" w:type="dxa"/>
            <w:hideMark/>
          </w:tcPr>
          <w:p w:rsidR="00A07783" w:rsidRPr="00A07783" w:rsidRDefault="00A07783" w:rsidP="00A07783">
            <w:pPr>
              <w:spacing w:after="0" w:line="256" w:lineRule="auto"/>
              <w:rPr>
                <w:rFonts w:eastAsia="Times New Roman"/>
                <w:lang w:eastAsia="en-GB"/>
              </w:rPr>
            </w:pPr>
            <w:r>
              <w:rPr>
                <w:rFonts w:eastAsia="Times New Roman"/>
                <w:b/>
                <w:bCs/>
                <w:color w:val="000000" w:themeColor="text1"/>
                <w:kern w:val="24"/>
                <w:lang w:eastAsia="en-GB"/>
              </w:rPr>
              <w:t>41 (fall</w:t>
            </w:r>
            <w:r w:rsidRPr="00A07783">
              <w:rPr>
                <w:rFonts w:eastAsia="Times New Roman"/>
                <w:b/>
                <w:bCs/>
                <w:color w:val="000000" w:themeColor="text1"/>
                <w:kern w:val="24"/>
                <w:lang w:eastAsia="en-GB"/>
              </w:rPr>
              <w:t>back DCI)</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Pr>
                <w:rFonts w:eastAsiaTheme="minorEastAsia"/>
                <w:color w:val="000000" w:themeColor="text1"/>
                <w:kern w:val="24"/>
                <w:lang w:eastAsia="en-GB"/>
              </w:rPr>
              <w:t>0.601</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Pr>
                <w:rFonts w:eastAsiaTheme="minorEastAsia"/>
                <w:color w:val="000000" w:themeColor="text1"/>
                <w:kern w:val="24"/>
                <w:lang w:eastAsia="en-GB"/>
              </w:rPr>
              <w:t>0.300</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Pr>
                <w:rFonts w:eastAsiaTheme="minorEastAsia"/>
                <w:color w:val="000000" w:themeColor="text1"/>
                <w:kern w:val="24"/>
                <w:lang w:eastAsia="en-GB"/>
              </w:rPr>
              <w:t>0.150</w:t>
            </w:r>
          </w:p>
        </w:tc>
        <w:tc>
          <w:tcPr>
            <w:tcW w:w="1042"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Pr>
                <w:rFonts w:eastAsiaTheme="minorEastAsia"/>
                <w:color w:val="000000" w:themeColor="text1"/>
                <w:kern w:val="24"/>
                <w:lang w:eastAsia="en-GB"/>
              </w:rPr>
              <w:t>0.075</w:t>
            </w:r>
          </w:p>
        </w:tc>
        <w:tc>
          <w:tcPr>
            <w:tcW w:w="1109" w:type="dxa"/>
            <w:vAlign w:val="bottom"/>
            <w:hideMark/>
          </w:tcPr>
          <w:p w:rsidR="00A07783" w:rsidRPr="00A07783" w:rsidRDefault="00A07783" w:rsidP="00A07783">
            <w:pPr>
              <w:spacing w:after="0"/>
              <w:jc w:val="center"/>
              <w:textAlignment w:val="bottom"/>
              <w:rPr>
                <w:rFonts w:eastAsiaTheme="minorEastAsia"/>
                <w:color w:val="000000" w:themeColor="text1"/>
                <w:kern w:val="24"/>
                <w:lang w:eastAsia="en-GB"/>
              </w:rPr>
            </w:pPr>
            <w:r>
              <w:rPr>
                <w:rFonts w:eastAsiaTheme="minorEastAsia"/>
                <w:color w:val="000000" w:themeColor="text1"/>
                <w:kern w:val="24"/>
                <w:lang w:eastAsia="en-GB"/>
              </w:rPr>
              <w:t>0.037</w:t>
            </w:r>
          </w:p>
        </w:tc>
      </w:tr>
    </w:tbl>
    <w:p w:rsidR="00A07783" w:rsidRDefault="00A07783" w:rsidP="00902810">
      <w:pPr>
        <w:jc w:val="both"/>
      </w:pPr>
    </w:p>
    <w:p w:rsidR="0040163D" w:rsidRDefault="0040163D" w:rsidP="00902810">
      <w:pPr>
        <w:jc w:val="both"/>
      </w:pPr>
      <w:r>
        <w:rPr>
          <w:b/>
          <w:i/>
          <w:lang w:eastAsia="ko-KR"/>
        </w:rPr>
        <w:t>Proposal 1</w:t>
      </w:r>
      <w:r w:rsidRPr="003D352F">
        <w:rPr>
          <w:b/>
          <w:i/>
          <w:lang w:eastAsia="ko-KR"/>
        </w:rPr>
        <w:t xml:space="preserve">: </w:t>
      </w:r>
      <w:r>
        <w:rPr>
          <w:b/>
          <w:i/>
          <w:lang w:eastAsia="ko-KR"/>
        </w:rPr>
        <w:t xml:space="preserve">Simulations should be conducted to assess the gains of </w:t>
      </w:r>
      <w:r w:rsidR="000136CA">
        <w:rPr>
          <w:b/>
          <w:i/>
          <w:lang w:eastAsia="ko-KR"/>
        </w:rPr>
        <w:t xml:space="preserve">a </w:t>
      </w:r>
      <w:r>
        <w:rPr>
          <w:b/>
          <w:i/>
          <w:lang w:eastAsia="ko-KR"/>
        </w:rPr>
        <w:t>compact DCI comparing to the currently defined scheduling DCIs in NR.</w:t>
      </w:r>
    </w:p>
    <w:p w:rsidR="00225381" w:rsidRPr="009C19F0" w:rsidRDefault="0040163D" w:rsidP="00F46F48">
      <w:pPr>
        <w:jc w:val="both"/>
      </w:pPr>
      <w:r>
        <w:rPr>
          <w:b/>
          <w:i/>
          <w:lang w:eastAsia="ko-KR"/>
        </w:rPr>
        <w:t>Proposal 2</w:t>
      </w:r>
      <w:r w:rsidRPr="003D352F">
        <w:rPr>
          <w:b/>
          <w:i/>
          <w:lang w:eastAsia="ko-KR"/>
        </w:rPr>
        <w:t xml:space="preserve">: </w:t>
      </w:r>
      <w:r w:rsidR="000136CA" w:rsidRPr="000136CA">
        <w:rPr>
          <w:b/>
          <w:i/>
          <w:lang w:eastAsia="ko-KR"/>
        </w:rPr>
        <w:t xml:space="preserve">The increased complexity of blind detection </w:t>
      </w:r>
      <w:r w:rsidR="000136CA">
        <w:rPr>
          <w:b/>
          <w:i/>
          <w:lang w:eastAsia="ko-KR"/>
        </w:rPr>
        <w:t>by having a new DCI format s</w:t>
      </w:r>
      <w:r w:rsidR="000136CA" w:rsidRPr="000136CA">
        <w:rPr>
          <w:b/>
          <w:i/>
          <w:lang w:eastAsia="ko-KR"/>
        </w:rPr>
        <w:t xml:space="preserve">hould be taken into </w:t>
      </w:r>
      <w:r w:rsidR="000136CA">
        <w:rPr>
          <w:b/>
          <w:i/>
          <w:lang w:eastAsia="ko-KR"/>
        </w:rPr>
        <w:t>account when evaluating the advantage of the compact DCI</w:t>
      </w:r>
      <w:r>
        <w:rPr>
          <w:b/>
          <w:i/>
          <w:lang w:eastAsia="ko-KR"/>
        </w:rPr>
        <w:t>.</w:t>
      </w:r>
    </w:p>
    <w:p w:rsidR="002D44AF" w:rsidRDefault="002D44AF" w:rsidP="002D44AF">
      <w:pPr>
        <w:pStyle w:val="Heading1"/>
        <w:rPr>
          <w:lang w:eastAsia="zh-TW"/>
        </w:rPr>
      </w:pPr>
      <w:r w:rsidRPr="00807D4E">
        <w:rPr>
          <w:rFonts w:hint="eastAsia"/>
        </w:rPr>
        <w:t>Conclusion</w:t>
      </w:r>
    </w:p>
    <w:p w:rsidR="00BF0158" w:rsidRDefault="00BF0158" w:rsidP="007B38B9">
      <w:pPr>
        <w:spacing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we mainly discuss the</w:t>
      </w:r>
      <w:r w:rsidR="009A1FE7">
        <w:rPr>
          <w:rFonts w:eastAsia="SimSun"/>
          <w:lang w:eastAsia="zh-CN"/>
        </w:rPr>
        <w:t xml:space="preserve"> </w:t>
      </w:r>
      <w:r w:rsidR="00550AF7">
        <w:rPr>
          <w:rFonts w:eastAsia="SimSun"/>
          <w:lang w:eastAsia="zh-CN"/>
        </w:rPr>
        <w:t>compact DCI for URLLC</w:t>
      </w:r>
      <w:r w:rsidR="009A1FE7">
        <w:rPr>
          <w:rFonts w:eastAsia="SimSun" w:hint="eastAsia"/>
          <w:lang w:eastAsia="zh-CN"/>
        </w:rPr>
        <w:t xml:space="preserve">, 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hint="eastAsia"/>
          <w:lang w:eastAsia="zh-CN"/>
        </w:rPr>
        <w:t xml:space="preserve"> and proposal</w:t>
      </w:r>
      <w:r w:rsidR="00550AF7">
        <w:rPr>
          <w:rFonts w:eastAsia="SimSun"/>
          <w:lang w:eastAsia="zh-CN"/>
        </w:rPr>
        <w:t>s</w:t>
      </w:r>
      <w:r w:rsidR="009A1FE7">
        <w:rPr>
          <w:rFonts w:eastAsia="SimSun"/>
          <w:lang w:val="en-US"/>
        </w:rPr>
        <w:t>:</w:t>
      </w:r>
    </w:p>
    <w:p w:rsidR="00E01F10" w:rsidRDefault="00E650C4" w:rsidP="00E01F10">
      <w:pPr>
        <w:jc w:val="both"/>
        <w:rPr>
          <w:b/>
          <w:i/>
          <w:lang w:eastAsia="ko-KR"/>
        </w:rPr>
      </w:pPr>
      <w:r w:rsidRPr="003D352F">
        <w:rPr>
          <w:b/>
          <w:i/>
          <w:lang w:eastAsia="ko-KR"/>
        </w:rPr>
        <w:t xml:space="preserve">Observation 1: </w:t>
      </w:r>
      <w:r>
        <w:rPr>
          <w:b/>
          <w:i/>
          <w:lang w:eastAsia="ko-KR"/>
        </w:rPr>
        <w:t xml:space="preserve">A compact DCI </w:t>
      </w:r>
      <w:r w:rsidR="00AD7AAE">
        <w:rPr>
          <w:b/>
          <w:i/>
          <w:lang w:eastAsia="ko-KR"/>
        </w:rPr>
        <w:t xml:space="preserve">payload </w:t>
      </w:r>
      <w:r>
        <w:rPr>
          <w:b/>
          <w:i/>
          <w:lang w:eastAsia="ko-KR"/>
        </w:rPr>
        <w:t xml:space="preserve">size, including the CRC, can be smaller than the fallback DCI </w:t>
      </w:r>
      <w:r w:rsidR="00AD7AAE">
        <w:rPr>
          <w:b/>
          <w:i/>
          <w:lang w:eastAsia="ko-KR"/>
        </w:rPr>
        <w:t xml:space="preserve">payload </w:t>
      </w:r>
      <w:r>
        <w:rPr>
          <w:b/>
          <w:i/>
          <w:lang w:eastAsia="ko-KR"/>
        </w:rPr>
        <w:t>size by 19%-</w:t>
      </w:r>
      <w:r w:rsidRPr="0040163D">
        <w:rPr>
          <w:b/>
          <w:i/>
          <w:lang w:eastAsia="ko-KR"/>
        </w:rPr>
        <w:t>25%.</w:t>
      </w:r>
    </w:p>
    <w:p w:rsidR="009079F7" w:rsidRDefault="009079F7" w:rsidP="009079F7">
      <w:pPr>
        <w:jc w:val="both"/>
      </w:pPr>
      <w:r>
        <w:rPr>
          <w:b/>
          <w:i/>
          <w:lang w:eastAsia="ko-KR"/>
        </w:rPr>
        <w:t>Proposal 1</w:t>
      </w:r>
      <w:r w:rsidRPr="003D352F">
        <w:rPr>
          <w:b/>
          <w:i/>
          <w:lang w:eastAsia="ko-KR"/>
        </w:rPr>
        <w:t xml:space="preserve">: </w:t>
      </w:r>
      <w:r>
        <w:rPr>
          <w:b/>
          <w:i/>
          <w:lang w:eastAsia="ko-KR"/>
        </w:rPr>
        <w:t>Simulations should be conducted to assess the gains of a compact DCI comparing to the currently defined scheduling DCIs in NR.</w:t>
      </w:r>
    </w:p>
    <w:p w:rsidR="00E01F10" w:rsidRPr="009079F7" w:rsidRDefault="009079F7" w:rsidP="00E650C4">
      <w:pPr>
        <w:jc w:val="both"/>
      </w:pPr>
      <w:r>
        <w:rPr>
          <w:b/>
          <w:i/>
          <w:lang w:eastAsia="ko-KR"/>
        </w:rPr>
        <w:t>Proposal 2</w:t>
      </w:r>
      <w:r w:rsidRPr="003D352F">
        <w:rPr>
          <w:b/>
          <w:i/>
          <w:lang w:eastAsia="ko-KR"/>
        </w:rPr>
        <w:t xml:space="preserve">: </w:t>
      </w:r>
      <w:r w:rsidRPr="000136CA">
        <w:rPr>
          <w:b/>
          <w:i/>
          <w:lang w:eastAsia="ko-KR"/>
        </w:rPr>
        <w:t xml:space="preserve">The increased complexity of blind detection </w:t>
      </w:r>
      <w:r>
        <w:rPr>
          <w:b/>
          <w:i/>
          <w:lang w:eastAsia="ko-KR"/>
        </w:rPr>
        <w:t>by having a new DCI format s</w:t>
      </w:r>
      <w:r w:rsidRPr="000136CA">
        <w:rPr>
          <w:b/>
          <w:i/>
          <w:lang w:eastAsia="ko-KR"/>
        </w:rPr>
        <w:t xml:space="preserve">hould be taken into </w:t>
      </w:r>
      <w:r>
        <w:rPr>
          <w:b/>
          <w:i/>
          <w:lang w:eastAsia="ko-KR"/>
        </w:rPr>
        <w:t>account when evaluating the advantage of the compact DCI</w:t>
      </w:r>
      <w:r w:rsidR="00E01F10">
        <w:rPr>
          <w:b/>
          <w:i/>
          <w:lang w:val="en-US" w:eastAsia="zh-CN"/>
        </w:rPr>
        <w:t>.</w:t>
      </w:r>
    </w:p>
    <w:p w:rsidR="002D44AF" w:rsidRPr="00B300C3" w:rsidRDefault="002D44AF" w:rsidP="002D44AF">
      <w:pPr>
        <w:pStyle w:val="Heading1"/>
        <w:rPr>
          <w:lang w:val="en-US"/>
        </w:rPr>
      </w:pPr>
      <w:r>
        <w:rPr>
          <w:rFonts w:hint="eastAsia"/>
          <w:lang w:val="en-US" w:eastAsia="zh-TW"/>
        </w:rPr>
        <w:t>References</w:t>
      </w:r>
    </w:p>
    <w:p w:rsidR="00FD578C" w:rsidRPr="00FD578C" w:rsidRDefault="00FD578C" w:rsidP="00FD578C">
      <w:pPr>
        <w:numPr>
          <w:ilvl w:val="0"/>
          <w:numId w:val="2"/>
        </w:numPr>
        <w:spacing w:after="120"/>
        <w:rPr>
          <w:lang w:val="en-US"/>
        </w:rPr>
      </w:pPr>
      <w:bookmarkStart w:id="6" w:name="_Ref506552988"/>
      <w:r w:rsidRPr="00FD578C">
        <w:rPr>
          <w:lang w:val="en-US"/>
        </w:rPr>
        <w:t>RP-170847, “New WID on New Radio Access Technology”, NTT DOCOMO.</w:t>
      </w:r>
      <w:bookmarkEnd w:id="6"/>
    </w:p>
    <w:p w:rsidR="00FD578C" w:rsidRDefault="00895E48" w:rsidP="00FD578C">
      <w:pPr>
        <w:numPr>
          <w:ilvl w:val="0"/>
          <w:numId w:val="2"/>
        </w:numPr>
        <w:spacing w:after="120"/>
        <w:rPr>
          <w:lang w:val="en-US"/>
        </w:rPr>
      </w:pPr>
      <w:bookmarkStart w:id="7" w:name="_Ref506552998"/>
      <w:r>
        <w:rPr>
          <w:lang w:val="en-US"/>
        </w:rPr>
        <w:t>Rel-14 TR 38.913, “</w:t>
      </w:r>
      <w:r w:rsidR="00FD578C" w:rsidRPr="00FD578C">
        <w:rPr>
          <w:lang w:val="en-US"/>
        </w:rPr>
        <w:t>Study on Scenarios and Requirements for Next</w:t>
      </w:r>
      <w:r>
        <w:rPr>
          <w:lang w:val="en-US"/>
        </w:rPr>
        <w:t xml:space="preserve"> Generation Access Technologies”</w:t>
      </w:r>
      <w:r w:rsidR="00FD578C" w:rsidRPr="00FD578C">
        <w:rPr>
          <w:lang w:val="en-US"/>
        </w:rPr>
        <w:t>, RAN#74, December 2016.</w:t>
      </w:r>
      <w:bookmarkEnd w:id="7"/>
    </w:p>
    <w:p w:rsidR="000D406F" w:rsidRDefault="000D406F" w:rsidP="000D406F">
      <w:pPr>
        <w:numPr>
          <w:ilvl w:val="0"/>
          <w:numId w:val="2"/>
        </w:numPr>
        <w:spacing w:after="120"/>
        <w:rPr>
          <w:lang w:val="en-US"/>
        </w:rPr>
      </w:pPr>
      <w:bookmarkStart w:id="8" w:name="_Ref506572380"/>
      <w:r w:rsidRPr="000D406F">
        <w:rPr>
          <w:lang w:val="en-US"/>
        </w:rPr>
        <w:t>RP-172817</w:t>
      </w:r>
      <w:r>
        <w:rPr>
          <w:lang w:val="en-US"/>
        </w:rPr>
        <w:t xml:space="preserve"> “</w:t>
      </w:r>
      <w:r w:rsidRPr="000D406F">
        <w:rPr>
          <w:lang w:val="en-US"/>
        </w:rPr>
        <w:t>NR High-Reliability URLLC scope for RAN1/RAN2</w:t>
      </w:r>
      <w:r>
        <w:rPr>
          <w:lang w:val="en-US"/>
        </w:rPr>
        <w:t xml:space="preserve">”, </w:t>
      </w:r>
      <w:r w:rsidRPr="000D406F">
        <w:rPr>
          <w:lang w:val="en-US"/>
        </w:rPr>
        <w:t>Ericsson</w:t>
      </w:r>
      <w:r>
        <w:rPr>
          <w:lang w:val="en-US"/>
        </w:rPr>
        <w:t xml:space="preserve">, </w:t>
      </w:r>
      <w:r w:rsidRPr="000D406F">
        <w:rPr>
          <w:lang w:val="en-US"/>
        </w:rPr>
        <w:t>RAN #78</w:t>
      </w:r>
      <w:r>
        <w:rPr>
          <w:lang w:val="en-US"/>
        </w:rPr>
        <w:t xml:space="preserve">, </w:t>
      </w:r>
      <w:r w:rsidRPr="000D406F">
        <w:rPr>
          <w:lang w:val="en-US"/>
        </w:rPr>
        <w:t>December, 2017</w:t>
      </w:r>
      <w:bookmarkEnd w:id="8"/>
    </w:p>
    <w:p w:rsidR="00B612C4" w:rsidRDefault="00B612C4" w:rsidP="006B1D09">
      <w:pPr>
        <w:numPr>
          <w:ilvl w:val="0"/>
          <w:numId w:val="2"/>
        </w:numPr>
        <w:spacing w:after="120"/>
        <w:rPr>
          <w:lang w:val="en-US"/>
        </w:rPr>
      </w:pPr>
      <w:bookmarkStart w:id="9" w:name="_Ref506572048"/>
      <w:r w:rsidRPr="00B612C4">
        <w:rPr>
          <w:lang w:val="en-US"/>
        </w:rPr>
        <w:t>3GPP TS 38.21</w:t>
      </w:r>
      <w:r w:rsidR="006B1D09">
        <w:rPr>
          <w:lang w:val="en-US"/>
        </w:rPr>
        <w:t>2</w:t>
      </w:r>
      <w:r w:rsidRPr="00B612C4">
        <w:rPr>
          <w:lang w:val="en-US"/>
        </w:rPr>
        <w:t xml:space="preserve">: “NR; </w:t>
      </w:r>
      <w:r w:rsidR="006B1D09" w:rsidRPr="006B1D09">
        <w:rPr>
          <w:lang w:val="en-US"/>
        </w:rPr>
        <w:t>Multiplexing and channel coding</w:t>
      </w:r>
      <w:r w:rsidRPr="00B612C4">
        <w:rPr>
          <w:lang w:val="en-US"/>
        </w:rPr>
        <w:t>”, V15.0.0 (2017-12)</w:t>
      </w:r>
      <w:bookmarkEnd w:id="9"/>
    </w:p>
    <w:p w:rsidR="00AC28FF" w:rsidRPr="00B612C4" w:rsidRDefault="00895E48" w:rsidP="00FD578C">
      <w:pPr>
        <w:numPr>
          <w:ilvl w:val="0"/>
          <w:numId w:val="2"/>
        </w:numPr>
        <w:spacing w:after="120"/>
        <w:rPr>
          <w:lang w:val="en-US"/>
        </w:rPr>
      </w:pPr>
      <w:bookmarkStart w:id="10" w:name="_Ref506567318"/>
      <w:r w:rsidRPr="00895E48">
        <w:rPr>
          <w:lang w:val="en-US"/>
        </w:rPr>
        <w:t>R1-1801676</w:t>
      </w:r>
      <w:r>
        <w:rPr>
          <w:lang w:val="en-US"/>
        </w:rPr>
        <w:t>, “</w:t>
      </w:r>
      <w:r w:rsidRPr="00895E48">
        <w:rPr>
          <w:lang w:val="en-US"/>
        </w:rPr>
        <w:t>MCS and CQI Tables design for URLLC</w:t>
      </w:r>
      <w:r>
        <w:rPr>
          <w:lang w:val="en-US"/>
        </w:rPr>
        <w:t xml:space="preserve">”, MediaTek, </w:t>
      </w:r>
      <w:r w:rsidRPr="00895E48">
        <w:rPr>
          <w:lang w:val="en-US"/>
        </w:rPr>
        <w:t>RAN1#92, February 2018</w:t>
      </w:r>
      <w:bookmarkEnd w:id="10"/>
    </w:p>
    <w:sectPr w:rsidR="00AC28FF" w:rsidRPr="00B612C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050" w:rsidRDefault="00C35050">
      <w:r>
        <w:separator/>
      </w:r>
    </w:p>
  </w:endnote>
  <w:endnote w:type="continuationSeparator" w:id="0">
    <w:p w:rsidR="00C35050" w:rsidRDefault="00C3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050" w:rsidRDefault="00C35050">
      <w:r>
        <w:separator/>
      </w:r>
    </w:p>
  </w:footnote>
  <w:footnote w:type="continuationSeparator" w:id="0">
    <w:p w:rsidR="00C35050" w:rsidRDefault="00C350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2" w15:restartNumberingAfterBreak="0">
    <w:nsid w:val="13642364"/>
    <w:multiLevelType w:val="hybridMultilevel"/>
    <w:tmpl w:val="B0263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EC1E84"/>
    <w:multiLevelType w:val="hybridMultilevel"/>
    <w:tmpl w:val="C71E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4ABD7975"/>
    <w:multiLevelType w:val="hybridMultilevel"/>
    <w:tmpl w:val="AA0C289A"/>
    <w:lvl w:ilvl="0" w:tplc="E19CB032">
      <w:start w:val="1"/>
      <w:numFmt w:val="bullet"/>
      <w:lvlText w:val=""/>
      <w:lvlJc w:val="left"/>
      <w:pPr>
        <w:tabs>
          <w:tab w:val="num" w:pos="720"/>
        </w:tabs>
        <w:ind w:left="720" w:hanging="360"/>
      </w:pPr>
      <w:rPr>
        <w:rFonts w:ascii="Wingdings" w:hAnsi="Wingdings" w:hint="default"/>
      </w:rPr>
    </w:lvl>
    <w:lvl w:ilvl="1" w:tplc="DBF608EE" w:tentative="1">
      <w:start w:val="1"/>
      <w:numFmt w:val="bullet"/>
      <w:lvlText w:val=""/>
      <w:lvlJc w:val="left"/>
      <w:pPr>
        <w:tabs>
          <w:tab w:val="num" w:pos="1440"/>
        </w:tabs>
        <w:ind w:left="1440" w:hanging="360"/>
      </w:pPr>
      <w:rPr>
        <w:rFonts w:ascii="Wingdings" w:hAnsi="Wingdings" w:hint="default"/>
      </w:rPr>
    </w:lvl>
    <w:lvl w:ilvl="2" w:tplc="FD4865D4" w:tentative="1">
      <w:start w:val="1"/>
      <w:numFmt w:val="bullet"/>
      <w:lvlText w:val=""/>
      <w:lvlJc w:val="left"/>
      <w:pPr>
        <w:tabs>
          <w:tab w:val="num" w:pos="2160"/>
        </w:tabs>
        <w:ind w:left="2160" w:hanging="360"/>
      </w:pPr>
      <w:rPr>
        <w:rFonts w:ascii="Wingdings" w:hAnsi="Wingdings" w:hint="default"/>
      </w:rPr>
    </w:lvl>
    <w:lvl w:ilvl="3" w:tplc="0F661942" w:tentative="1">
      <w:start w:val="1"/>
      <w:numFmt w:val="bullet"/>
      <w:lvlText w:val=""/>
      <w:lvlJc w:val="left"/>
      <w:pPr>
        <w:tabs>
          <w:tab w:val="num" w:pos="2880"/>
        </w:tabs>
        <w:ind w:left="2880" w:hanging="360"/>
      </w:pPr>
      <w:rPr>
        <w:rFonts w:ascii="Wingdings" w:hAnsi="Wingdings" w:hint="default"/>
      </w:rPr>
    </w:lvl>
    <w:lvl w:ilvl="4" w:tplc="6B46F480" w:tentative="1">
      <w:start w:val="1"/>
      <w:numFmt w:val="bullet"/>
      <w:lvlText w:val=""/>
      <w:lvlJc w:val="left"/>
      <w:pPr>
        <w:tabs>
          <w:tab w:val="num" w:pos="3600"/>
        </w:tabs>
        <w:ind w:left="3600" w:hanging="360"/>
      </w:pPr>
      <w:rPr>
        <w:rFonts w:ascii="Wingdings" w:hAnsi="Wingdings" w:hint="default"/>
      </w:rPr>
    </w:lvl>
    <w:lvl w:ilvl="5" w:tplc="7152BED2" w:tentative="1">
      <w:start w:val="1"/>
      <w:numFmt w:val="bullet"/>
      <w:lvlText w:val=""/>
      <w:lvlJc w:val="left"/>
      <w:pPr>
        <w:tabs>
          <w:tab w:val="num" w:pos="4320"/>
        </w:tabs>
        <w:ind w:left="4320" w:hanging="360"/>
      </w:pPr>
      <w:rPr>
        <w:rFonts w:ascii="Wingdings" w:hAnsi="Wingdings" w:hint="default"/>
      </w:rPr>
    </w:lvl>
    <w:lvl w:ilvl="6" w:tplc="EDD2394C" w:tentative="1">
      <w:start w:val="1"/>
      <w:numFmt w:val="bullet"/>
      <w:lvlText w:val=""/>
      <w:lvlJc w:val="left"/>
      <w:pPr>
        <w:tabs>
          <w:tab w:val="num" w:pos="5040"/>
        </w:tabs>
        <w:ind w:left="5040" w:hanging="360"/>
      </w:pPr>
      <w:rPr>
        <w:rFonts w:ascii="Wingdings" w:hAnsi="Wingdings" w:hint="default"/>
      </w:rPr>
    </w:lvl>
    <w:lvl w:ilvl="7" w:tplc="9284476E" w:tentative="1">
      <w:start w:val="1"/>
      <w:numFmt w:val="bullet"/>
      <w:lvlText w:val=""/>
      <w:lvlJc w:val="left"/>
      <w:pPr>
        <w:tabs>
          <w:tab w:val="num" w:pos="5760"/>
        </w:tabs>
        <w:ind w:left="5760" w:hanging="360"/>
      </w:pPr>
      <w:rPr>
        <w:rFonts w:ascii="Wingdings" w:hAnsi="Wingdings" w:hint="default"/>
      </w:rPr>
    </w:lvl>
    <w:lvl w:ilvl="8" w:tplc="A53ED61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9"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0"/>
  </w:num>
  <w:num w:numId="4">
    <w:abstractNumId w:val="11"/>
  </w:num>
  <w:num w:numId="5">
    <w:abstractNumId w:val="0"/>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6"/>
    <w:lvlOverride w:ilvl="0">
      <w:startOverride w:val="2"/>
    </w:lvlOverride>
  </w:num>
  <w:num w:numId="11">
    <w:abstractNumId w:val="2"/>
  </w:num>
  <w:num w:numId="12">
    <w:abstractNumId w:val="7"/>
  </w:num>
  <w:num w:numId="1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6CA"/>
    <w:rsid w:val="00013D0E"/>
    <w:rsid w:val="00015793"/>
    <w:rsid w:val="00015873"/>
    <w:rsid w:val="0002017E"/>
    <w:rsid w:val="00020FEE"/>
    <w:rsid w:val="0002191D"/>
    <w:rsid w:val="000222CB"/>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2230"/>
    <w:rsid w:val="00053BDB"/>
    <w:rsid w:val="00053C5F"/>
    <w:rsid w:val="00054D06"/>
    <w:rsid w:val="00056973"/>
    <w:rsid w:val="00057DC0"/>
    <w:rsid w:val="000646D3"/>
    <w:rsid w:val="00065840"/>
    <w:rsid w:val="000672B2"/>
    <w:rsid w:val="0006733D"/>
    <w:rsid w:val="00067506"/>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5F8B"/>
    <w:rsid w:val="000C6F6E"/>
    <w:rsid w:val="000D06B4"/>
    <w:rsid w:val="000D1E67"/>
    <w:rsid w:val="000D1E9A"/>
    <w:rsid w:val="000D406F"/>
    <w:rsid w:val="000D54C6"/>
    <w:rsid w:val="000D6CFC"/>
    <w:rsid w:val="000D7F67"/>
    <w:rsid w:val="000E005A"/>
    <w:rsid w:val="000E109E"/>
    <w:rsid w:val="000E16EB"/>
    <w:rsid w:val="000E20FC"/>
    <w:rsid w:val="000E284C"/>
    <w:rsid w:val="000E469E"/>
    <w:rsid w:val="000E4A2D"/>
    <w:rsid w:val="000E4DD3"/>
    <w:rsid w:val="000E69EA"/>
    <w:rsid w:val="000F3EA8"/>
    <w:rsid w:val="000F71CD"/>
    <w:rsid w:val="000F7730"/>
    <w:rsid w:val="000F7EFE"/>
    <w:rsid w:val="001010BC"/>
    <w:rsid w:val="001012D3"/>
    <w:rsid w:val="00101381"/>
    <w:rsid w:val="00101C1E"/>
    <w:rsid w:val="001033DD"/>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1E9"/>
    <w:rsid w:val="00145437"/>
    <w:rsid w:val="00151AEE"/>
    <w:rsid w:val="00152EF4"/>
    <w:rsid w:val="001534BC"/>
    <w:rsid w:val="00153528"/>
    <w:rsid w:val="001541D5"/>
    <w:rsid w:val="00154A79"/>
    <w:rsid w:val="001560E8"/>
    <w:rsid w:val="0015718A"/>
    <w:rsid w:val="00161258"/>
    <w:rsid w:val="00163735"/>
    <w:rsid w:val="00164444"/>
    <w:rsid w:val="0016596F"/>
    <w:rsid w:val="00172031"/>
    <w:rsid w:val="0017415A"/>
    <w:rsid w:val="00174296"/>
    <w:rsid w:val="001748C6"/>
    <w:rsid w:val="00175920"/>
    <w:rsid w:val="00177DC6"/>
    <w:rsid w:val="00182B95"/>
    <w:rsid w:val="00182FD9"/>
    <w:rsid w:val="0018349F"/>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741C"/>
    <w:rsid w:val="00297444"/>
    <w:rsid w:val="00297FB4"/>
    <w:rsid w:val="002A283C"/>
    <w:rsid w:val="002A2935"/>
    <w:rsid w:val="002A2D8B"/>
    <w:rsid w:val="002A4261"/>
    <w:rsid w:val="002A4C60"/>
    <w:rsid w:val="002A5D49"/>
    <w:rsid w:val="002A63E4"/>
    <w:rsid w:val="002A6FE9"/>
    <w:rsid w:val="002B091A"/>
    <w:rsid w:val="002B1B3B"/>
    <w:rsid w:val="002B3450"/>
    <w:rsid w:val="002B3815"/>
    <w:rsid w:val="002B419D"/>
    <w:rsid w:val="002B429C"/>
    <w:rsid w:val="002B6292"/>
    <w:rsid w:val="002B6CEF"/>
    <w:rsid w:val="002B7BC4"/>
    <w:rsid w:val="002B7BFF"/>
    <w:rsid w:val="002C207F"/>
    <w:rsid w:val="002C350E"/>
    <w:rsid w:val="002C3F4C"/>
    <w:rsid w:val="002C5296"/>
    <w:rsid w:val="002C5300"/>
    <w:rsid w:val="002D06F5"/>
    <w:rsid w:val="002D0FCD"/>
    <w:rsid w:val="002D1BF6"/>
    <w:rsid w:val="002D2C39"/>
    <w:rsid w:val="002D36ED"/>
    <w:rsid w:val="002D402C"/>
    <w:rsid w:val="002D44AF"/>
    <w:rsid w:val="002D483F"/>
    <w:rsid w:val="002D59A0"/>
    <w:rsid w:val="002D69AB"/>
    <w:rsid w:val="002D6DE8"/>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1F0"/>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5844"/>
    <w:rsid w:val="00367724"/>
    <w:rsid w:val="00367D08"/>
    <w:rsid w:val="0037097E"/>
    <w:rsid w:val="00370A22"/>
    <w:rsid w:val="003741E9"/>
    <w:rsid w:val="00377B02"/>
    <w:rsid w:val="00377BDE"/>
    <w:rsid w:val="00380F82"/>
    <w:rsid w:val="003826D3"/>
    <w:rsid w:val="0038417D"/>
    <w:rsid w:val="00384502"/>
    <w:rsid w:val="00393315"/>
    <w:rsid w:val="003969DE"/>
    <w:rsid w:val="003978CE"/>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7C79"/>
    <w:rsid w:val="003D0233"/>
    <w:rsid w:val="003D187B"/>
    <w:rsid w:val="003D1F33"/>
    <w:rsid w:val="003D352F"/>
    <w:rsid w:val="003D3659"/>
    <w:rsid w:val="003D36F0"/>
    <w:rsid w:val="003D40E4"/>
    <w:rsid w:val="003D4535"/>
    <w:rsid w:val="003D5DA3"/>
    <w:rsid w:val="003D716A"/>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163D"/>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7BC0"/>
    <w:rsid w:val="00447BDC"/>
    <w:rsid w:val="004502EA"/>
    <w:rsid w:val="004514FF"/>
    <w:rsid w:val="00452AF3"/>
    <w:rsid w:val="004539A7"/>
    <w:rsid w:val="00454F89"/>
    <w:rsid w:val="00456BEA"/>
    <w:rsid w:val="00457C47"/>
    <w:rsid w:val="00462A27"/>
    <w:rsid w:val="0046357F"/>
    <w:rsid w:val="004652DB"/>
    <w:rsid w:val="004669E9"/>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0AF7"/>
    <w:rsid w:val="00551B47"/>
    <w:rsid w:val="005534EE"/>
    <w:rsid w:val="00556A55"/>
    <w:rsid w:val="00561966"/>
    <w:rsid w:val="00563111"/>
    <w:rsid w:val="00564539"/>
    <w:rsid w:val="005724AC"/>
    <w:rsid w:val="00575876"/>
    <w:rsid w:val="00577349"/>
    <w:rsid w:val="00577842"/>
    <w:rsid w:val="00580522"/>
    <w:rsid w:val="005806AA"/>
    <w:rsid w:val="00580EF2"/>
    <w:rsid w:val="00583F42"/>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1D09"/>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6F740F"/>
    <w:rsid w:val="007001C8"/>
    <w:rsid w:val="007027D0"/>
    <w:rsid w:val="00702D49"/>
    <w:rsid w:val="007033C1"/>
    <w:rsid w:val="00704E63"/>
    <w:rsid w:val="0070646B"/>
    <w:rsid w:val="00710FE8"/>
    <w:rsid w:val="0071157A"/>
    <w:rsid w:val="007134D5"/>
    <w:rsid w:val="00713B22"/>
    <w:rsid w:val="007145FD"/>
    <w:rsid w:val="007146EE"/>
    <w:rsid w:val="007163F8"/>
    <w:rsid w:val="007179C4"/>
    <w:rsid w:val="00720176"/>
    <w:rsid w:val="00722229"/>
    <w:rsid w:val="00722727"/>
    <w:rsid w:val="00723177"/>
    <w:rsid w:val="00725F80"/>
    <w:rsid w:val="00727C1E"/>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3E19"/>
    <w:rsid w:val="00844059"/>
    <w:rsid w:val="00844166"/>
    <w:rsid w:val="008448CC"/>
    <w:rsid w:val="00844E37"/>
    <w:rsid w:val="008458F7"/>
    <w:rsid w:val="008463AD"/>
    <w:rsid w:val="008464B0"/>
    <w:rsid w:val="00847492"/>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4A86"/>
    <w:rsid w:val="00895A68"/>
    <w:rsid w:val="00895E48"/>
    <w:rsid w:val="008A0232"/>
    <w:rsid w:val="008A5E57"/>
    <w:rsid w:val="008A618D"/>
    <w:rsid w:val="008A69F1"/>
    <w:rsid w:val="008B0F4D"/>
    <w:rsid w:val="008B382D"/>
    <w:rsid w:val="008C0413"/>
    <w:rsid w:val="008C163F"/>
    <w:rsid w:val="008C2A5D"/>
    <w:rsid w:val="008C3442"/>
    <w:rsid w:val="008C60E9"/>
    <w:rsid w:val="008C7F27"/>
    <w:rsid w:val="008D1112"/>
    <w:rsid w:val="008D170D"/>
    <w:rsid w:val="008D3F4C"/>
    <w:rsid w:val="008D455D"/>
    <w:rsid w:val="008D6D8B"/>
    <w:rsid w:val="008D77BB"/>
    <w:rsid w:val="008E08F7"/>
    <w:rsid w:val="008E177D"/>
    <w:rsid w:val="008E1BCA"/>
    <w:rsid w:val="008E2BCB"/>
    <w:rsid w:val="008E45FE"/>
    <w:rsid w:val="008E5342"/>
    <w:rsid w:val="008E6B58"/>
    <w:rsid w:val="008E6CD8"/>
    <w:rsid w:val="008E6DBE"/>
    <w:rsid w:val="008F05B3"/>
    <w:rsid w:val="008F12A7"/>
    <w:rsid w:val="008F15B0"/>
    <w:rsid w:val="008F2549"/>
    <w:rsid w:val="008F2A8C"/>
    <w:rsid w:val="008F2DC9"/>
    <w:rsid w:val="008F3200"/>
    <w:rsid w:val="008F6EED"/>
    <w:rsid w:val="008F7610"/>
    <w:rsid w:val="008F76CA"/>
    <w:rsid w:val="00900F9B"/>
    <w:rsid w:val="00901327"/>
    <w:rsid w:val="00902810"/>
    <w:rsid w:val="00902935"/>
    <w:rsid w:val="00903038"/>
    <w:rsid w:val="00903061"/>
    <w:rsid w:val="00903064"/>
    <w:rsid w:val="0090374A"/>
    <w:rsid w:val="009038CA"/>
    <w:rsid w:val="00904188"/>
    <w:rsid w:val="00904537"/>
    <w:rsid w:val="0090483A"/>
    <w:rsid w:val="00904FDA"/>
    <w:rsid w:val="0090553F"/>
    <w:rsid w:val="009064EB"/>
    <w:rsid w:val="009079F7"/>
    <w:rsid w:val="00910108"/>
    <w:rsid w:val="009104AA"/>
    <w:rsid w:val="00912FD0"/>
    <w:rsid w:val="009131D2"/>
    <w:rsid w:val="009140D0"/>
    <w:rsid w:val="00917279"/>
    <w:rsid w:val="00917AFE"/>
    <w:rsid w:val="00920581"/>
    <w:rsid w:val="00920CF0"/>
    <w:rsid w:val="00922E39"/>
    <w:rsid w:val="009241CD"/>
    <w:rsid w:val="00926D99"/>
    <w:rsid w:val="0092780E"/>
    <w:rsid w:val="009305A0"/>
    <w:rsid w:val="00930751"/>
    <w:rsid w:val="00930C93"/>
    <w:rsid w:val="0093302B"/>
    <w:rsid w:val="00933368"/>
    <w:rsid w:val="00934F9C"/>
    <w:rsid w:val="00936088"/>
    <w:rsid w:val="009367DB"/>
    <w:rsid w:val="0093767B"/>
    <w:rsid w:val="00937794"/>
    <w:rsid w:val="00937AF5"/>
    <w:rsid w:val="00945A15"/>
    <w:rsid w:val="009461CC"/>
    <w:rsid w:val="0094697D"/>
    <w:rsid w:val="00947318"/>
    <w:rsid w:val="00947627"/>
    <w:rsid w:val="00950F0C"/>
    <w:rsid w:val="0095102F"/>
    <w:rsid w:val="0095462C"/>
    <w:rsid w:val="00954DF6"/>
    <w:rsid w:val="00955C2B"/>
    <w:rsid w:val="00956F4B"/>
    <w:rsid w:val="00963A6D"/>
    <w:rsid w:val="009657AB"/>
    <w:rsid w:val="00971B09"/>
    <w:rsid w:val="00972BAE"/>
    <w:rsid w:val="00974CD3"/>
    <w:rsid w:val="00975596"/>
    <w:rsid w:val="00977018"/>
    <w:rsid w:val="00983910"/>
    <w:rsid w:val="00983FBB"/>
    <w:rsid w:val="009849B6"/>
    <w:rsid w:val="009853B6"/>
    <w:rsid w:val="009854C4"/>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1BC"/>
    <w:rsid w:val="009C7A70"/>
    <w:rsid w:val="009D14BC"/>
    <w:rsid w:val="009D30A1"/>
    <w:rsid w:val="009D3818"/>
    <w:rsid w:val="009D38DC"/>
    <w:rsid w:val="009D66BA"/>
    <w:rsid w:val="009D69A4"/>
    <w:rsid w:val="009D70D7"/>
    <w:rsid w:val="009D71B2"/>
    <w:rsid w:val="009E0EA6"/>
    <w:rsid w:val="009E1E8A"/>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07783"/>
    <w:rsid w:val="00A1185D"/>
    <w:rsid w:val="00A12436"/>
    <w:rsid w:val="00A13286"/>
    <w:rsid w:val="00A1405E"/>
    <w:rsid w:val="00A14DF3"/>
    <w:rsid w:val="00A15026"/>
    <w:rsid w:val="00A157D0"/>
    <w:rsid w:val="00A158F0"/>
    <w:rsid w:val="00A15E51"/>
    <w:rsid w:val="00A16F53"/>
    <w:rsid w:val="00A25815"/>
    <w:rsid w:val="00A2634D"/>
    <w:rsid w:val="00A275EF"/>
    <w:rsid w:val="00A2789E"/>
    <w:rsid w:val="00A3036D"/>
    <w:rsid w:val="00A31BCD"/>
    <w:rsid w:val="00A32693"/>
    <w:rsid w:val="00A35544"/>
    <w:rsid w:val="00A35C04"/>
    <w:rsid w:val="00A3788E"/>
    <w:rsid w:val="00A4100C"/>
    <w:rsid w:val="00A41F00"/>
    <w:rsid w:val="00A41FD3"/>
    <w:rsid w:val="00A4320B"/>
    <w:rsid w:val="00A4354B"/>
    <w:rsid w:val="00A44F9F"/>
    <w:rsid w:val="00A5255F"/>
    <w:rsid w:val="00A5364F"/>
    <w:rsid w:val="00A546BB"/>
    <w:rsid w:val="00A550FF"/>
    <w:rsid w:val="00A560C6"/>
    <w:rsid w:val="00A566E3"/>
    <w:rsid w:val="00A56E39"/>
    <w:rsid w:val="00A616E3"/>
    <w:rsid w:val="00A64E33"/>
    <w:rsid w:val="00A64E87"/>
    <w:rsid w:val="00A6590A"/>
    <w:rsid w:val="00A6636A"/>
    <w:rsid w:val="00A66CB6"/>
    <w:rsid w:val="00A7008F"/>
    <w:rsid w:val="00A701AF"/>
    <w:rsid w:val="00A701CF"/>
    <w:rsid w:val="00A70460"/>
    <w:rsid w:val="00A71EA9"/>
    <w:rsid w:val="00A74046"/>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808"/>
    <w:rsid w:val="00A93C1A"/>
    <w:rsid w:val="00A94A47"/>
    <w:rsid w:val="00A95D35"/>
    <w:rsid w:val="00A961CC"/>
    <w:rsid w:val="00A97083"/>
    <w:rsid w:val="00AA0AB4"/>
    <w:rsid w:val="00AA127E"/>
    <w:rsid w:val="00AA4F2D"/>
    <w:rsid w:val="00AA596D"/>
    <w:rsid w:val="00AA63BB"/>
    <w:rsid w:val="00AA6A71"/>
    <w:rsid w:val="00AA7A65"/>
    <w:rsid w:val="00AB04AF"/>
    <w:rsid w:val="00AB297C"/>
    <w:rsid w:val="00AB5817"/>
    <w:rsid w:val="00AB6E69"/>
    <w:rsid w:val="00AB71FD"/>
    <w:rsid w:val="00AB7939"/>
    <w:rsid w:val="00AC0B1D"/>
    <w:rsid w:val="00AC1DE0"/>
    <w:rsid w:val="00AC28FF"/>
    <w:rsid w:val="00AC2BAF"/>
    <w:rsid w:val="00AC3888"/>
    <w:rsid w:val="00AC4305"/>
    <w:rsid w:val="00AC5074"/>
    <w:rsid w:val="00AC66AC"/>
    <w:rsid w:val="00AC70B9"/>
    <w:rsid w:val="00AD0BE7"/>
    <w:rsid w:val="00AD6E87"/>
    <w:rsid w:val="00AD7469"/>
    <w:rsid w:val="00AD7AAE"/>
    <w:rsid w:val="00AE2ADB"/>
    <w:rsid w:val="00AE312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269E"/>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604D4"/>
    <w:rsid w:val="00B609D8"/>
    <w:rsid w:val="00B60BB4"/>
    <w:rsid w:val="00B612C4"/>
    <w:rsid w:val="00B6188D"/>
    <w:rsid w:val="00B61C74"/>
    <w:rsid w:val="00B62CD7"/>
    <w:rsid w:val="00B6460F"/>
    <w:rsid w:val="00B64BF9"/>
    <w:rsid w:val="00B64E5F"/>
    <w:rsid w:val="00B65011"/>
    <w:rsid w:val="00B65B4D"/>
    <w:rsid w:val="00B66265"/>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3DBC"/>
    <w:rsid w:val="00B94E85"/>
    <w:rsid w:val="00B95577"/>
    <w:rsid w:val="00B96889"/>
    <w:rsid w:val="00B96897"/>
    <w:rsid w:val="00BA0263"/>
    <w:rsid w:val="00BA0737"/>
    <w:rsid w:val="00BA2420"/>
    <w:rsid w:val="00BA34AB"/>
    <w:rsid w:val="00BA39EF"/>
    <w:rsid w:val="00BA41ED"/>
    <w:rsid w:val="00BA6097"/>
    <w:rsid w:val="00BA6C82"/>
    <w:rsid w:val="00BB142C"/>
    <w:rsid w:val="00BB27FD"/>
    <w:rsid w:val="00BB3DBB"/>
    <w:rsid w:val="00BB3E20"/>
    <w:rsid w:val="00BB5041"/>
    <w:rsid w:val="00BB6469"/>
    <w:rsid w:val="00BB6C4E"/>
    <w:rsid w:val="00BB772A"/>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A6B"/>
    <w:rsid w:val="00C1603E"/>
    <w:rsid w:val="00C16577"/>
    <w:rsid w:val="00C20175"/>
    <w:rsid w:val="00C2366B"/>
    <w:rsid w:val="00C2551A"/>
    <w:rsid w:val="00C27716"/>
    <w:rsid w:val="00C30821"/>
    <w:rsid w:val="00C31006"/>
    <w:rsid w:val="00C31471"/>
    <w:rsid w:val="00C32236"/>
    <w:rsid w:val="00C3228C"/>
    <w:rsid w:val="00C3230E"/>
    <w:rsid w:val="00C3260F"/>
    <w:rsid w:val="00C35050"/>
    <w:rsid w:val="00C359F8"/>
    <w:rsid w:val="00C367EE"/>
    <w:rsid w:val="00C37CD2"/>
    <w:rsid w:val="00C4082C"/>
    <w:rsid w:val="00C41018"/>
    <w:rsid w:val="00C416E5"/>
    <w:rsid w:val="00C434AB"/>
    <w:rsid w:val="00C458C4"/>
    <w:rsid w:val="00C47FB1"/>
    <w:rsid w:val="00C50074"/>
    <w:rsid w:val="00C5146F"/>
    <w:rsid w:val="00C51A50"/>
    <w:rsid w:val="00C52BDA"/>
    <w:rsid w:val="00C559F4"/>
    <w:rsid w:val="00C55A94"/>
    <w:rsid w:val="00C628DF"/>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2E43"/>
    <w:rsid w:val="00C9360C"/>
    <w:rsid w:val="00C942F0"/>
    <w:rsid w:val="00C9464E"/>
    <w:rsid w:val="00C96BA3"/>
    <w:rsid w:val="00C973E3"/>
    <w:rsid w:val="00C978CF"/>
    <w:rsid w:val="00CA1039"/>
    <w:rsid w:val="00CA4F52"/>
    <w:rsid w:val="00CA5E21"/>
    <w:rsid w:val="00CB044C"/>
    <w:rsid w:val="00CB0504"/>
    <w:rsid w:val="00CB4372"/>
    <w:rsid w:val="00CB5A7C"/>
    <w:rsid w:val="00CC05FC"/>
    <w:rsid w:val="00CC34AB"/>
    <w:rsid w:val="00CC36DF"/>
    <w:rsid w:val="00CC4DE1"/>
    <w:rsid w:val="00CC6210"/>
    <w:rsid w:val="00CC6DBA"/>
    <w:rsid w:val="00CD010B"/>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0A82"/>
    <w:rsid w:val="00D21047"/>
    <w:rsid w:val="00D21EC1"/>
    <w:rsid w:val="00D22A76"/>
    <w:rsid w:val="00D23219"/>
    <w:rsid w:val="00D232A9"/>
    <w:rsid w:val="00D23A8C"/>
    <w:rsid w:val="00D248A2"/>
    <w:rsid w:val="00D24D0D"/>
    <w:rsid w:val="00D26DD0"/>
    <w:rsid w:val="00D27607"/>
    <w:rsid w:val="00D27A4E"/>
    <w:rsid w:val="00D31C83"/>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0AC8"/>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5FB4"/>
    <w:rsid w:val="00DB662D"/>
    <w:rsid w:val="00DC1A15"/>
    <w:rsid w:val="00DC1D7B"/>
    <w:rsid w:val="00DC4552"/>
    <w:rsid w:val="00DC60A2"/>
    <w:rsid w:val="00DC71A1"/>
    <w:rsid w:val="00DC74A5"/>
    <w:rsid w:val="00DD0437"/>
    <w:rsid w:val="00DD0C2C"/>
    <w:rsid w:val="00DD0EA7"/>
    <w:rsid w:val="00DD1AA4"/>
    <w:rsid w:val="00DD230C"/>
    <w:rsid w:val="00DD2BD0"/>
    <w:rsid w:val="00DD4116"/>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8F7"/>
    <w:rsid w:val="00E650C4"/>
    <w:rsid w:val="00E653A2"/>
    <w:rsid w:val="00E667B5"/>
    <w:rsid w:val="00E717A5"/>
    <w:rsid w:val="00E71DFF"/>
    <w:rsid w:val="00E7357D"/>
    <w:rsid w:val="00E74D03"/>
    <w:rsid w:val="00E75102"/>
    <w:rsid w:val="00E7586C"/>
    <w:rsid w:val="00E75DE6"/>
    <w:rsid w:val="00E8030D"/>
    <w:rsid w:val="00E822BA"/>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2198"/>
    <w:rsid w:val="00ED42D8"/>
    <w:rsid w:val="00ED547A"/>
    <w:rsid w:val="00ED5501"/>
    <w:rsid w:val="00EE0083"/>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5918"/>
    <w:rsid w:val="00FB7738"/>
    <w:rsid w:val="00FC051F"/>
    <w:rsid w:val="00FC06B8"/>
    <w:rsid w:val="00FC091B"/>
    <w:rsid w:val="00FC0B6E"/>
    <w:rsid w:val="00FC14E7"/>
    <w:rsid w:val="00FC17E4"/>
    <w:rsid w:val="00FC1B45"/>
    <w:rsid w:val="00FC38F9"/>
    <w:rsid w:val="00FC3C19"/>
    <w:rsid w:val="00FC46BC"/>
    <w:rsid w:val="00FC4D07"/>
    <w:rsid w:val="00FC4E67"/>
    <w:rsid w:val="00FC531D"/>
    <w:rsid w:val="00FC69F5"/>
    <w:rsid w:val="00FD063A"/>
    <w:rsid w:val="00FD1F20"/>
    <w:rsid w:val="00FD45BD"/>
    <w:rsid w:val="00FD4DF8"/>
    <w:rsid w:val="00FD5595"/>
    <w:rsid w:val="00FD578C"/>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9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1997561">
      <w:bodyDiv w:val="1"/>
      <w:marLeft w:val="0"/>
      <w:marRight w:val="0"/>
      <w:marTop w:val="0"/>
      <w:marBottom w:val="0"/>
      <w:divBdr>
        <w:top w:val="none" w:sz="0" w:space="0" w:color="auto"/>
        <w:left w:val="none" w:sz="0" w:space="0" w:color="auto"/>
        <w:bottom w:val="none" w:sz="0" w:space="0" w:color="auto"/>
        <w:right w:val="none" w:sz="0" w:space="0" w:color="auto"/>
      </w:divBdr>
      <w:divsChild>
        <w:div w:id="545021632">
          <w:marLeft w:val="547"/>
          <w:marRight w:val="0"/>
          <w:marTop w:val="7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7409313">
      <w:bodyDiv w:val="1"/>
      <w:marLeft w:val="0"/>
      <w:marRight w:val="0"/>
      <w:marTop w:val="0"/>
      <w:marBottom w:val="0"/>
      <w:divBdr>
        <w:top w:val="none" w:sz="0" w:space="0" w:color="auto"/>
        <w:left w:val="none" w:sz="0" w:space="0" w:color="auto"/>
        <w:bottom w:val="none" w:sz="0" w:space="0" w:color="auto"/>
        <w:right w:val="none" w:sz="0" w:space="0" w:color="auto"/>
      </w:divBdr>
      <w:divsChild>
        <w:div w:id="1377847702">
          <w:marLeft w:val="360"/>
          <w:marRight w:val="0"/>
          <w:marTop w:val="200"/>
          <w:marBottom w:val="0"/>
          <w:divBdr>
            <w:top w:val="none" w:sz="0" w:space="0" w:color="auto"/>
            <w:left w:val="none" w:sz="0" w:space="0" w:color="auto"/>
            <w:bottom w:val="none" w:sz="0" w:space="0" w:color="auto"/>
            <w:right w:val="none" w:sz="0" w:space="0" w:color="auto"/>
          </w:divBdr>
        </w:div>
        <w:div w:id="2055957948">
          <w:marLeft w:val="1080"/>
          <w:marRight w:val="0"/>
          <w:marTop w:val="100"/>
          <w:marBottom w:val="0"/>
          <w:divBdr>
            <w:top w:val="none" w:sz="0" w:space="0" w:color="auto"/>
            <w:left w:val="none" w:sz="0" w:space="0" w:color="auto"/>
            <w:bottom w:val="none" w:sz="0" w:space="0" w:color="auto"/>
            <w:right w:val="none" w:sz="0" w:space="0" w:color="auto"/>
          </w:divBdr>
        </w:div>
        <w:div w:id="1355768781">
          <w:marLeft w:val="1800"/>
          <w:marRight w:val="0"/>
          <w:marTop w:val="100"/>
          <w:marBottom w:val="0"/>
          <w:divBdr>
            <w:top w:val="none" w:sz="0" w:space="0" w:color="auto"/>
            <w:left w:val="none" w:sz="0" w:space="0" w:color="auto"/>
            <w:bottom w:val="none" w:sz="0" w:space="0" w:color="auto"/>
            <w:right w:val="none" w:sz="0" w:space="0" w:color="auto"/>
          </w:divBdr>
        </w:div>
        <w:div w:id="852110749">
          <w:marLeft w:val="2520"/>
          <w:marRight w:val="0"/>
          <w:marTop w:val="100"/>
          <w:marBottom w:val="0"/>
          <w:divBdr>
            <w:top w:val="none" w:sz="0" w:space="0" w:color="auto"/>
            <w:left w:val="none" w:sz="0" w:space="0" w:color="auto"/>
            <w:bottom w:val="none" w:sz="0" w:space="0" w:color="auto"/>
            <w:right w:val="none" w:sz="0" w:space="0" w:color="auto"/>
          </w:divBdr>
        </w:div>
        <w:div w:id="17896893">
          <w:marLeft w:val="3240"/>
          <w:marRight w:val="0"/>
          <w:marTop w:val="100"/>
          <w:marBottom w:val="0"/>
          <w:divBdr>
            <w:top w:val="none" w:sz="0" w:space="0" w:color="auto"/>
            <w:left w:val="none" w:sz="0" w:space="0" w:color="auto"/>
            <w:bottom w:val="none" w:sz="0" w:space="0" w:color="auto"/>
            <w:right w:val="none" w:sz="0" w:space="0" w:color="auto"/>
          </w:divBdr>
        </w:div>
        <w:div w:id="1500392047">
          <w:marLeft w:val="3960"/>
          <w:marRight w:val="0"/>
          <w:marTop w:val="100"/>
          <w:marBottom w:val="0"/>
          <w:divBdr>
            <w:top w:val="none" w:sz="0" w:space="0" w:color="auto"/>
            <w:left w:val="none" w:sz="0" w:space="0" w:color="auto"/>
            <w:bottom w:val="none" w:sz="0" w:space="0" w:color="auto"/>
            <w:right w:val="none" w:sz="0" w:space="0" w:color="auto"/>
          </w:divBdr>
        </w:div>
        <w:div w:id="1616130041">
          <w:marLeft w:val="3240"/>
          <w:marRight w:val="0"/>
          <w:marTop w:val="100"/>
          <w:marBottom w:val="0"/>
          <w:divBdr>
            <w:top w:val="none" w:sz="0" w:space="0" w:color="auto"/>
            <w:left w:val="none" w:sz="0" w:space="0" w:color="auto"/>
            <w:bottom w:val="none" w:sz="0" w:space="0" w:color="auto"/>
            <w:right w:val="none" w:sz="0" w:space="0" w:color="auto"/>
          </w:divBdr>
        </w:div>
        <w:div w:id="775096661">
          <w:marLeft w:val="3960"/>
          <w:marRight w:val="0"/>
          <w:marTop w:val="100"/>
          <w:marBottom w:val="0"/>
          <w:divBdr>
            <w:top w:val="none" w:sz="0" w:space="0" w:color="auto"/>
            <w:left w:val="none" w:sz="0" w:space="0" w:color="auto"/>
            <w:bottom w:val="none" w:sz="0" w:space="0" w:color="auto"/>
            <w:right w:val="none" w:sz="0" w:space="0" w:color="auto"/>
          </w:divBdr>
        </w:div>
        <w:div w:id="1190028321">
          <w:marLeft w:val="3960"/>
          <w:marRight w:val="0"/>
          <w:marTop w:val="100"/>
          <w:marBottom w:val="0"/>
          <w:divBdr>
            <w:top w:val="none" w:sz="0" w:space="0" w:color="auto"/>
            <w:left w:val="none" w:sz="0" w:space="0" w:color="auto"/>
            <w:bottom w:val="none" w:sz="0" w:space="0" w:color="auto"/>
            <w:right w:val="none" w:sz="0" w:space="0" w:color="auto"/>
          </w:divBdr>
        </w:div>
        <w:div w:id="108478168">
          <w:marLeft w:val="1080"/>
          <w:marRight w:val="0"/>
          <w:marTop w:val="100"/>
          <w:marBottom w:val="0"/>
          <w:divBdr>
            <w:top w:val="none" w:sz="0" w:space="0" w:color="auto"/>
            <w:left w:val="none" w:sz="0" w:space="0" w:color="auto"/>
            <w:bottom w:val="none" w:sz="0" w:space="0" w:color="auto"/>
            <w:right w:val="none" w:sz="0" w:space="0" w:color="auto"/>
          </w:divBdr>
        </w:div>
        <w:div w:id="2108964440">
          <w:marLeft w:val="1800"/>
          <w:marRight w:val="0"/>
          <w:marTop w:val="100"/>
          <w:marBottom w:val="0"/>
          <w:divBdr>
            <w:top w:val="none" w:sz="0" w:space="0" w:color="auto"/>
            <w:left w:val="none" w:sz="0" w:space="0" w:color="auto"/>
            <w:bottom w:val="none" w:sz="0" w:space="0" w:color="auto"/>
            <w:right w:val="none" w:sz="0" w:space="0" w:color="auto"/>
          </w:divBdr>
        </w:div>
        <w:div w:id="600115337">
          <w:marLeft w:val="1800"/>
          <w:marRight w:val="0"/>
          <w:marTop w:val="100"/>
          <w:marBottom w:val="0"/>
          <w:divBdr>
            <w:top w:val="none" w:sz="0" w:space="0" w:color="auto"/>
            <w:left w:val="none" w:sz="0" w:space="0" w:color="auto"/>
            <w:bottom w:val="none" w:sz="0" w:space="0" w:color="auto"/>
            <w:right w:val="none" w:sz="0" w:space="0" w:color="auto"/>
          </w:divBdr>
        </w:div>
        <w:div w:id="734084097">
          <w:marLeft w:val="1800"/>
          <w:marRight w:val="0"/>
          <w:marTop w:val="10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5545189">
      <w:bodyDiv w:val="1"/>
      <w:marLeft w:val="0"/>
      <w:marRight w:val="0"/>
      <w:marTop w:val="0"/>
      <w:marBottom w:val="0"/>
      <w:divBdr>
        <w:top w:val="none" w:sz="0" w:space="0" w:color="auto"/>
        <w:left w:val="none" w:sz="0" w:space="0" w:color="auto"/>
        <w:bottom w:val="none" w:sz="0" w:space="0" w:color="auto"/>
        <w:right w:val="none" w:sz="0" w:space="0" w:color="auto"/>
      </w:divBdr>
      <w:divsChild>
        <w:div w:id="439035746">
          <w:marLeft w:val="360"/>
          <w:marRight w:val="0"/>
          <w:marTop w:val="200"/>
          <w:marBottom w:val="0"/>
          <w:divBdr>
            <w:top w:val="none" w:sz="0" w:space="0" w:color="auto"/>
            <w:left w:val="none" w:sz="0" w:space="0" w:color="auto"/>
            <w:bottom w:val="none" w:sz="0" w:space="0" w:color="auto"/>
            <w:right w:val="none" w:sz="0" w:space="0" w:color="auto"/>
          </w:divBdr>
        </w:div>
        <w:div w:id="2078699629">
          <w:marLeft w:val="1080"/>
          <w:marRight w:val="0"/>
          <w:marTop w:val="100"/>
          <w:marBottom w:val="0"/>
          <w:divBdr>
            <w:top w:val="none" w:sz="0" w:space="0" w:color="auto"/>
            <w:left w:val="none" w:sz="0" w:space="0" w:color="auto"/>
            <w:bottom w:val="none" w:sz="0" w:space="0" w:color="auto"/>
            <w:right w:val="none" w:sz="0" w:space="0" w:color="auto"/>
          </w:divBdr>
        </w:div>
        <w:div w:id="32654625">
          <w:marLeft w:val="1800"/>
          <w:marRight w:val="0"/>
          <w:marTop w:val="100"/>
          <w:marBottom w:val="0"/>
          <w:divBdr>
            <w:top w:val="none" w:sz="0" w:space="0" w:color="auto"/>
            <w:left w:val="none" w:sz="0" w:space="0" w:color="auto"/>
            <w:bottom w:val="none" w:sz="0" w:space="0" w:color="auto"/>
            <w:right w:val="none" w:sz="0" w:space="0" w:color="auto"/>
          </w:divBdr>
        </w:div>
        <w:div w:id="228928879">
          <w:marLeft w:val="2520"/>
          <w:marRight w:val="0"/>
          <w:marTop w:val="100"/>
          <w:marBottom w:val="0"/>
          <w:divBdr>
            <w:top w:val="none" w:sz="0" w:space="0" w:color="auto"/>
            <w:left w:val="none" w:sz="0" w:space="0" w:color="auto"/>
            <w:bottom w:val="none" w:sz="0" w:space="0" w:color="auto"/>
            <w:right w:val="none" w:sz="0" w:space="0" w:color="auto"/>
          </w:divBdr>
        </w:div>
        <w:div w:id="1612980646">
          <w:marLeft w:val="3240"/>
          <w:marRight w:val="0"/>
          <w:marTop w:val="100"/>
          <w:marBottom w:val="0"/>
          <w:divBdr>
            <w:top w:val="none" w:sz="0" w:space="0" w:color="auto"/>
            <w:left w:val="none" w:sz="0" w:space="0" w:color="auto"/>
            <w:bottom w:val="none" w:sz="0" w:space="0" w:color="auto"/>
            <w:right w:val="none" w:sz="0" w:space="0" w:color="auto"/>
          </w:divBdr>
        </w:div>
        <w:div w:id="1933128158">
          <w:marLeft w:val="3960"/>
          <w:marRight w:val="0"/>
          <w:marTop w:val="100"/>
          <w:marBottom w:val="0"/>
          <w:divBdr>
            <w:top w:val="none" w:sz="0" w:space="0" w:color="auto"/>
            <w:left w:val="none" w:sz="0" w:space="0" w:color="auto"/>
            <w:bottom w:val="none" w:sz="0" w:space="0" w:color="auto"/>
            <w:right w:val="none" w:sz="0" w:space="0" w:color="auto"/>
          </w:divBdr>
        </w:div>
        <w:div w:id="1725643463">
          <w:marLeft w:val="3240"/>
          <w:marRight w:val="0"/>
          <w:marTop w:val="100"/>
          <w:marBottom w:val="0"/>
          <w:divBdr>
            <w:top w:val="none" w:sz="0" w:space="0" w:color="auto"/>
            <w:left w:val="none" w:sz="0" w:space="0" w:color="auto"/>
            <w:bottom w:val="none" w:sz="0" w:space="0" w:color="auto"/>
            <w:right w:val="none" w:sz="0" w:space="0" w:color="auto"/>
          </w:divBdr>
        </w:div>
        <w:div w:id="1424960039">
          <w:marLeft w:val="3960"/>
          <w:marRight w:val="0"/>
          <w:marTop w:val="100"/>
          <w:marBottom w:val="0"/>
          <w:divBdr>
            <w:top w:val="none" w:sz="0" w:space="0" w:color="auto"/>
            <w:left w:val="none" w:sz="0" w:space="0" w:color="auto"/>
            <w:bottom w:val="none" w:sz="0" w:space="0" w:color="auto"/>
            <w:right w:val="none" w:sz="0" w:space="0" w:color="auto"/>
          </w:divBdr>
        </w:div>
        <w:div w:id="1930968918">
          <w:marLeft w:val="3960"/>
          <w:marRight w:val="0"/>
          <w:marTop w:val="100"/>
          <w:marBottom w:val="0"/>
          <w:divBdr>
            <w:top w:val="none" w:sz="0" w:space="0" w:color="auto"/>
            <w:left w:val="none" w:sz="0" w:space="0" w:color="auto"/>
            <w:bottom w:val="none" w:sz="0" w:space="0" w:color="auto"/>
            <w:right w:val="none" w:sz="0" w:space="0" w:color="auto"/>
          </w:divBdr>
        </w:div>
        <w:div w:id="2005432770">
          <w:marLeft w:val="1080"/>
          <w:marRight w:val="0"/>
          <w:marTop w:val="100"/>
          <w:marBottom w:val="0"/>
          <w:divBdr>
            <w:top w:val="none" w:sz="0" w:space="0" w:color="auto"/>
            <w:left w:val="none" w:sz="0" w:space="0" w:color="auto"/>
            <w:bottom w:val="none" w:sz="0" w:space="0" w:color="auto"/>
            <w:right w:val="none" w:sz="0" w:space="0" w:color="auto"/>
          </w:divBdr>
        </w:div>
        <w:div w:id="1403797518">
          <w:marLeft w:val="1800"/>
          <w:marRight w:val="0"/>
          <w:marTop w:val="100"/>
          <w:marBottom w:val="0"/>
          <w:divBdr>
            <w:top w:val="none" w:sz="0" w:space="0" w:color="auto"/>
            <w:left w:val="none" w:sz="0" w:space="0" w:color="auto"/>
            <w:bottom w:val="none" w:sz="0" w:space="0" w:color="auto"/>
            <w:right w:val="none" w:sz="0" w:space="0" w:color="auto"/>
          </w:divBdr>
        </w:div>
        <w:div w:id="957956233">
          <w:marLeft w:val="1800"/>
          <w:marRight w:val="0"/>
          <w:marTop w:val="100"/>
          <w:marBottom w:val="0"/>
          <w:divBdr>
            <w:top w:val="none" w:sz="0" w:space="0" w:color="auto"/>
            <w:left w:val="none" w:sz="0" w:space="0" w:color="auto"/>
            <w:bottom w:val="none" w:sz="0" w:space="0" w:color="auto"/>
            <w:right w:val="none" w:sz="0" w:space="0" w:color="auto"/>
          </w:divBdr>
        </w:div>
        <w:div w:id="229972224">
          <w:marLeft w:val="1800"/>
          <w:marRight w:val="0"/>
          <w:marTop w:val="100"/>
          <w:marBottom w:val="0"/>
          <w:divBdr>
            <w:top w:val="none" w:sz="0" w:space="0" w:color="auto"/>
            <w:left w:val="none" w:sz="0" w:space="0" w:color="auto"/>
            <w:bottom w:val="none" w:sz="0" w:space="0" w:color="auto"/>
            <w:right w:val="none" w:sz="0" w:space="0" w:color="auto"/>
          </w:divBdr>
        </w:div>
      </w:divsChild>
    </w:div>
    <w:div w:id="382406291">
      <w:bodyDiv w:val="1"/>
      <w:marLeft w:val="0"/>
      <w:marRight w:val="0"/>
      <w:marTop w:val="0"/>
      <w:marBottom w:val="0"/>
      <w:divBdr>
        <w:top w:val="none" w:sz="0" w:space="0" w:color="auto"/>
        <w:left w:val="none" w:sz="0" w:space="0" w:color="auto"/>
        <w:bottom w:val="none" w:sz="0" w:space="0" w:color="auto"/>
        <w:right w:val="none" w:sz="0" w:space="0" w:color="auto"/>
      </w:divBdr>
      <w:divsChild>
        <w:div w:id="2101363897">
          <w:marLeft w:val="547"/>
          <w:marRight w:val="0"/>
          <w:marTop w:val="96"/>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8930698">
      <w:bodyDiv w:val="1"/>
      <w:marLeft w:val="0"/>
      <w:marRight w:val="0"/>
      <w:marTop w:val="0"/>
      <w:marBottom w:val="0"/>
      <w:divBdr>
        <w:top w:val="none" w:sz="0" w:space="0" w:color="auto"/>
        <w:left w:val="none" w:sz="0" w:space="0" w:color="auto"/>
        <w:bottom w:val="none" w:sz="0" w:space="0" w:color="auto"/>
        <w:right w:val="none" w:sz="0" w:space="0" w:color="auto"/>
      </w:divBdr>
      <w:divsChild>
        <w:div w:id="1227447243">
          <w:marLeft w:val="547"/>
          <w:marRight w:val="0"/>
          <w:marTop w:val="77"/>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783820">
      <w:bodyDiv w:val="1"/>
      <w:marLeft w:val="0"/>
      <w:marRight w:val="0"/>
      <w:marTop w:val="0"/>
      <w:marBottom w:val="0"/>
      <w:divBdr>
        <w:top w:val="none" w:sz="0" w:space="0" w:color="auto"/>
        <w:left w:val="none" w:sz="0" w:space="0" w:color="auto"/>
        <w:bottom w:val="none" w:sz="0" w:space="0" w:color="auto"/>
        <w:right w:val="none" w:sz="0" w:space="0" w:color="auto"/>
      </w:divBdr>
      <w:divsChild>
        <w:div w:id="1262369814">
          <w:marLeft w:val="547"/>
          <w:marRight w:val="0"/>
          <w:marTop w:val="77"/>
          <w:marBottom w:val="0"/>
          <w:divBdr>
            <w:top w:val="none" w:sz="0" w:space="0" w:color="auto"/>
            <w:left w:val="none" w:sz="0" w:space="0" w:color="auto"/>
            <w:bottom w:val="none" w:sz="0" w:space="0" w:color="auto"/>
            <w:right w:val="none" w:sz="0" w:space="0" w:color="auto"/>
          </w:divBdr>
        </w:div>
      </w:divsChild>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39553594">
      <w:bodyDiv w:val="1"/>
      <w:marLeft w:val="0"/>
      <w:marRight w:val="0"/>
      <w:marTop w:val="0"/>
      <w:marBottom w:val="0"/>
      <w:divBdr>
        <w:top w:val="none" w:sz="0" w:space="0" w:color="auto"/>
        <w:left w:val="none" w:sz="0" w:space="0" w:color="auto"/>
        <w:bottom w:val="none" w:sz="0" w:space="0" w:color="auto"/>
        <w:right w:val="none" w:sz="0" w:space="0" w:color="auto"/>
      </w:divBdr>
      <w:divsChild>
        <w:div w:id="1582637364">
          <w:marLeft w:val="547"/>
          <w:marRight w:val="0"/>
          <w:marTop w:val="77"/>
          <w:marBottom w:val="0"/>
          <w:divBdr>
            <w:top w:val="none" w:sz="0" w:space="0" w:color="auto"/>
            <w:left w:val="none" w:sz="0" w:space="0" w:color="auto"/>
            <w:bottom w:val="none" w:sz="0" w:space="0" w:color="auto"/>
            <w:right w:val="none" w:sz="0" w:space="0" w:color="auto"/>
          </w:divBdr>
        </w:div>
      </w:divsChild>
    </w:div>
    <w:div w:id="1335109153">
      <w:bodyDiv w:val="1"/>
      <w:marLeft w:val="0"/>
      <w:marRight w:val="0"/>
      <w:marTop w:val="0"/>
      <w:marBottom w:val="0"/>
      <w:divBdr>
        <w:top w:val="none" w:sz="0" w:space="0" w:color="auto"/>
        <w:left w:val="none" w:sz="0" w:space="0" w:color="auto"/>
        <w:bottom w:val="none" w:sz="0" w:space="0" w:color="auto"/>
        <w:right w:val="none" w:sz="0" w:space="0" w:color="auto"/>
      </w:divBdr>
    </w:div>
    <w:div w:id="136047135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0281667">
      <w:bodyDiv w:val="1"/>
      <w:marLeft w:val="0"/>
      <w:marRight w:val="0"/>
      <w:marTop w:val="0"/>
      <w:marBottom w:val="0"/>
      <w:divBdr>
        <w:top w:val="none" w:sz="0" w:space="0" w:color="auto"/>
        <w:left w:val="none" w:sz="0" w:space="0" w:color="auto"/>
        <w:bottom w:val="none" w:sz="0" w:space="0" w:color="auto"/>
        <w:right w:val="none" w:sz="0" w:space="0" w:color="auto"/>
      </w:divBdr>
      <w:divsChild>
        <w:div w:id="1261063590">
          <w:marLeft w:val="547"/>
          <w:marRight w:val="0"/>
          <w:marTop w:val="77"/>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093322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8D482BB1-B23C-4117-8309-CF46A0444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880</TotalTime>
  <Pages>3</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7584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Mohammed.Al-Imari@mediatek.com</dc:creator>
  <cp:keywords/>
  <cp:lastModifiedBy>Mohammed Al-Imari</cp:lastModifiedBy>
  <cp:revision>123</cp:revision>
  <cp:lastPrinted>2017-05-05T16:44:00Z</cp:lastPrinted>
  <dcterms:created xsi:type="dcterms:W3CDTF">2017-09-08T17:07:00Z</dcterms:created>
  <dcterms:modified xsi:type="dcterms:W3CDTF">2018-02-16T19:42:00Z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